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5AE71">
      <w:pPr>
        <w:spacing w:line="640" w:lineRule="exact"/>
        <w:jc w:val="center"/>
        <w:rPr>
          <w:rFonts w:hint="eastAsia" w:ascii="宋体" w:hAnsi="宋体" w:eastAsia="宋体" w:cs="宋体"/>
        </w:rPr>
      </w:pPr>
      <w:r>
        <w:rPr>
          <w:rFonts w:hint="eastAsia" w:ascii="宋体" w:hAnsi="宋体" w:eastAsia="宋体" w:cs="宋体"/>
          <w:b/>
          <w:bCs/>
          <w:sz w:val="36"/>
          <w:szCs w:val="36"/>
        </w:rPr>
        <w:t>研究生卓越成长与学术交流促进计划</w:t>
      </w:r>
    </w:p>
    <w:p w14:paraId="5529D291">
      <w:pPr>
        <w:spacing w:before="313" w:beforeLines="100" w:line="640" w:lineRule="exact"/>
        <w:ind w:firstLine="0" w:firstLineChars="0"/>
        <w:rPr>
          <w:rFonts w:ascii="宋体" w:hAnsi="宋体" w:eastAsia="宋体" w:cs="宋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项目实施背景</w:t>
      </w:r>
    </w:p>
    <w:p w14:paraId="6DC0024A">
      <w:pPr>
        <w:spacing w:line="640" w:lineRule="exact"/>
        <w:ind w:firstLine="640" w:firstLineChars="200"/>
        <w:rPr>
          <w:rFonts w:hint="eastAsia" w:ascii="宋体" w:hAnsi="宋体" w:eastAsia="宋体" w:cs="宋体"/>
          <w:sz w:val="28"/>
          <w:szCs w:val="28"/>
        </w:rPr>
      </w:pPr>
      <w:r>
        <w:rPr>
          <w:rFonts w:hint="eastAsia" w:ascii="仿宋" w:hAnsi="仿宋" w:eastAsia="仿宋" w:cs="仿宋"/>
          <w:sz w:val="32"/>
          <w:szCs w:val="32"/>
        </w:rPr>
        <w:t>为了显著增强我校研究生的学术竞争实力与创新潜能，精心培育一批兼具国际视野与创新精神的高层次卓越人才，我们特此推出“研究生卓越成长与学术交流促进计划”。本计划旨在通过资助研究生参与国际顶尖学术会议及海外访学，支持入选张江树优博培育计划的博士生参加国际会议，以及资助本博拔尖创新机会学员的深度研学活动，为广大学子们提供更多的学术交流与实践探索机会，从而全方位推动其学术造诣与综合素养的飞跃式提升。</w:t>
      </w:r>
    </w:p>
    <w:p w14:paraId="480A4945">
      <w:pPr>
        <w:spacing w:line="640" w:lineRule="exact"/>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项目实施时间</w:t>
      </w:r>
    </w:p>
    <w:p w14:paraId="2CF4C0AB">
      <w:pPr>
        <w:spacing w:line="640" w:lineRule="exact"/>
        <w:ind w:firstLine="640" w:firstLineChars="200"/>
        <w:rPr>
          <w:rFonts w:hint="eastAsia" w:ascii="宋体" w:hAnsi="宋体" w:eastAsia="宋体" w:cs="宋体"/>
          <w:sz w:val="28"/>
          <w:szCs w:val="28"/>
        </w:rPr>
      </w:pPr>
      <w:r>
        <w:rPr>
          <w:rFonts w:hint="eastAsia" w:ascii="仿宋" w:hAnsi="仿宋" w:eastAsia="仿宋" w:cs="仿宋"/>
          <w:sz w:val="32"/>
          <w:szCs w:val="32"/>
        </w:rPr>
        <w:t>实施周</w:t>
      </w:r>
      <w:r>
        <w:rPr>
          <w:rFonts w:hint="default" w:ascii="Times New Roman" w:hAnsi="Times New Roman" w:eastAsia="仿宋" w:cs="Times New Roman"/>
          <w:sz w:val="32"/>
          <w:szCs w:val="32"/>
        </w:rPr>
        <w:t>期：1年（</w:t>
      </w:r>
      <w:r>
        <w:rPr>
          <w:rFonts w:hint="default" w:ascii="Times New Roman" w:hAnsi="Times New Roman" w:eastAsia="仿宋" w:cs="Times New Roman"/>
          <w:spacing w:val="0"/>
          <w:sz w:val="32"/>
          <w:szCs w:val="32"/>
        </w:rPr>
        <w:t>2024年11月16日至2025年11月15</w:t>
      </w:r>
      <w:r>
        <w:rPr>
          <w:rFonts w:hint="eastAsia" w:ascii="仿宋" w:hAnsi="仿宋" w:eastAsia="仿宋" w:cs="仿宋"/>
          <w:spacing w:val="0"/>
          <w:sz w:val="32"/>
          <w:szCs w:val="32"/>
        </w:rPr>
        <w:t>日</w:t>
      </w:r>
      <w:r>
        <w:rPr>
          <w:rFonts w:hint="eastAsia" w:ascii="仿宋" w:hAnsi="仿宋" w:eastAsia="仿宋" w:cs="仿宋"/>
          <w:spacing w:val="-20"/>
          <w:sz w:val="32"/>
          <w:szCs w:val="32"/>
        </w:rPr>
        <w:t>）</w:t>
      </w:r>
    </w:p>
    <w:p w14:paraId="09C755A1">
      <w:pPr>
        <w:spacing w:line="640" w:lineRule="exact"/>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项目实施方案</w:t>
      </w:r>
    </w:p>
    <w:p w14:paraId="7C37718C">
      <w:pPr>
        <w:numPr>
          <w:ilvl w:val="0"/>
          <w:numId w:val="1"/>
        </w:numPr>
        <w:spacing w:line="640" w:lineRule="exact"/>
        <w:ind w:left="0" w:firstLine="643" w:firstLineChars="200"/>
        <w:rPr>
          <w:rFonts w:ascii="宋体" w:hAnsi="宋体" w:eastAsia="宋体" w:cs="宋体"/>
          <w:sz w:val="32"/>
          <w:szCs w:val="32"/>
        </w:rPr>
      </w:pPr>
      <w:r>
        <w:rPr>
          <w:rFonts w:hint="eastAsia" w:ascii="宋体" w:hAnsi="宋体" w:eastAsia="宋体" w:cs="宋体"/>
          <w:b/>
          <w:bCs/>
          <w:sz w:val="32"/>
          <w:szCs w:val="32"/>
        </w:rPr>
        <w:t>资助研究生参加国际高水平会议和访学项目</w:t>
      </w:r>
    </w:p>
    <w:p w14:paraId="0678F339">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具体措施：</w:t>
      </w:r>
    </w:p>
    <w:p w14:paraId="293D1402">
      <w:pPr>
        <w:numPr>
          <w:ilvl w:val="0"/>
          <w:numId w:val="2"/>
        </w:numPr>
        <w:spacing w:line="240" w:lineRule="auto"/>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资助不</w:t>
      </w:r>
      <w:r>
        <w:rPr>
          <w:rFonts w:hint="default" w:ascii="Times New Roman" w:hAnsi="Times New Roman" w:eastAsia="仿宋" w:cs="Times New Roman"/>
          <w:sz w:val="32"/>
          <w:szCs w:val="32"/>
        </w:rPr>
        <w:t>少</w:t>
      </w:r>
      <w:r>
        <w:rPr>
          <w:rFonts w:hint="eastAsia" w:ascii="仿宋" w:hAnsi="仿宋" w:eastAsia="仿宋" w:cs="仿宋"/>
          <w:sz w:val="32"/>
          <w:szCs w:val="32"/>
        </w:rPr>
        <w:t>于60名研究生参加国际高水平会议和访学项目。</w:t>
      </w:r>
    </w:p>
    <w:p w14:paraId="7E834966">
      <w:pPr>
        <w:numPr>
          <w:ilvl w:val="0"/>
          <w:numId w:val="2"/>
        </w:numPr>
        <w:spacing w:line="240" w:lineRule="auto"/>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为研究生参加国际高水平会议提供交通费、住宿费、注册费资助。</w:t>
      </w:r>
    </w:p>
    <w:p w14:paraId="470AD7BC">
      <w:pPr>
        <w:numPr>
          <w:ilvl w:val="0"/>
          <w:numId w:val="2"/>
        </w:numPr>
        <w:spacing w:line="240" w:lineRule="auto"/>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资助研究生进行国外访学的往返交通费，访学时间至少为一个月</w:t>
      </w:r>
      <w:r>
        <w:rPr>
          <w:rFonts w:hint="eastAsia" w:ascii="仿宋" w:hAnsi="仿宋" w:eastAsia="仿宋" w:cs="仿宋"/>
          <w:sz w:val="32"/>
          <w:szCs w:val="32"/>
          <w:lang w:eastAsia="zh-CN"/>
        </w:rPr>
        <w:t>。</w:t>
      </w:r>
    </w:p>
    <w:p w14:paraId="4EA6D091">
      <w:pPr>
        <w:numPr>
          <w:ilvl w:val="0"/>
          <w:numId w:val="2"/>
        </w:numPr>
        <w:spacing w:line="240" w:lineRule="auto"/>
        <w:ind w:left="0" w:leftChars="0" w:firstLine="640" w:firstLineChars="200"/>
        <w:rPr>
          <w:rFonts w:hint="eastAsia" w:ascii="宋体" w:hAnsi="宋体" w:eastAsia="宋体" w:cs="宋体"/>
          <w:sz w:val="32"/>
          <w:szCs w:val="32"/>
        </w:rPr>
      </w:pPr>
      <w:r>
        <w:rPr>
          <w:rFonts w:hint="eastAsia" w:ascii="仿宋" w:hAnsi="仿宋" w:eastAsia="仿宋" w:cs="仿宋"/>
          <w:sz w:val="32"/>
          <w:szCs w:val="32"/>
        </w:rPr>
        <w:t>申请条件和资助比例见</w:t>
      </w:r>
      <w:r>
        <w:rPr>
          <w:rFonts w:hint="eastAsia" w:ascii="仿宋" w:hAnsi="仿宋" w:eastAsia="仿宋" w:cs="仿宋"/>
          <w:b/>
          <w:bCs/>
          <w:sz w:val="32"/>
          <w:szCs w:val="32"/>
        </w:rPr>
        <w:t>附件1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关于启动2025年资助研究生参加国际高水平会议和访学项目工作的通知</w:t>
      </w:r>
      <w:r>
        <w:rPr>
          <w:rFonts w:hint="eastAsia" w:ascii="仿宋" w:hAnsi="仿宋" w:eastAsia="仿宋" w:cs="仿宋"/>
          <w:sz w:val="32"/>
          <w:szCs w:val="32"/>
          <w:highlight w:val="none"/>
        </w:rPr>
        <w:t>》</w:t>
      </w:r>
    </w:p>
    <w:p w14:paraId="5745CFC2">
      <w:pPr>
        <w:numPr>
          <w:ilvl w:val="0"/>
          <w:numId w:val="3"/>
        </w:numPr>
        <w:spacing w:line="640" w:lineRule="exact"/>
        <w:ind w:left="0" w:firstLine="643" w:firstLineChars="200"/>
        <w:rPr>
          <w:rFonts w:hint="eastAsia" w:ascii="宋体" w:hAnsi="宋体" w:eastAsia="宋体" w:cs="宋体"/>
          <w:sz w:val="32"/>
          <w:szCs w:val="32"/>
        </w:rPr>
      </w:pPr>
      <w:r>
        <w:rPr>
          <w:rFonts w:hint="eastAsia" w:ascii="宋体" w:hAnsi="宋体" w:eastAsia="宋体" w:cs="宋体"/>
          <w:b/>
          <w:bCs/>
          <w:sz w:val="32"/>
          <w:szCs w:val="32"/>
        </w:rPr>
        <w:t>资助“张江树优博培育计划”博士生参加国际会议项目</w:t>
      </w:r>
    </w:p>
    <w:p w14:paraId="3B2E07A6">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具体措施：</w:t>
      </w:r>
    </w:p>
    <w:p w14:paraId="5D8FB3F0">
      <w:pPr>
        <w:pStyle w:val="12"/>
        <w:numPr>
          <w:ilvl w:val="0"/>
          <w:numId w:val="4"/>
        </w:numPr>
        <w:spacing w:line="240" w:lineRule="auto"/>
        <w:ind w:left="0" w:leftChars="0"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每位张江树优博培育计划入选者在入选期间，将额外享受一次全额资助的国际会议机会，涵盖交通费、住宿费及注册费，无需按参会形式比例分担，个人资助上限为2万元。</w:t>
      </w:r>
    </w:p>
    <w:p w14:paraId="3AA60401">
      <w:pPr>
        <w:pStyle w:val="12"/>
        <w:numPr>
          <w:ilvl w:val="0"/>
          <w:numId w:val="4"/>
        </w:numPr>
        <w:spacing w:line="240" w:lineRule="auto"/>
        <w:ind w:left="0" w:leftChars="0" w:firstLine="640" w:firstLineChars="200"/>
        <w:rPr>
          <w:rFonts w:hint="default" w:ascii="Times New Roman" w:hAnsi="Times New Roman" w:eastAsia="宋体" w:cs="Times New Roman"/>
          <w:sz w:val="32"/>
          <w:szCs w:val="32"/>
        </w:rPr>
      </w:pPr>
      <w:r>
        <w:rPr>
          <w:rFonts w:hint="default" w:ascii="Times New Roman" w:hAnsi="Times New Roman" w:eastAsia="仿宋" w:cs="Times New Roman"/>
          <w:sz w:val="32"/>
          <w:szCs w:val="32"/>
        </w:rPr>
        <w:t>申请材料和流程见</w:t>
      </w:r>
      <w:r>
        <w:rPr>
          <w:rFonts w:hint="default" w:ascii="Times New Roman" w:hAnsi="Times New Roman" w:eastAsia="仿宋" w:cs="Times New Roman"/>
          <w:b/>
          <w:bCs/>
          <w:sz w:val="32"/>
          <w:szCs w:val="32"/>
        </w:rPr>
        <w:t>附件2</w:t>
      </w:r>
      <w:r>
        <w:rPr>
          <w:rFonts w:hint="default" w:ascii="Times New Roman" w:hAnsi="Times New Roman" w:eastAsia="仿宋" w:cs="Times New Roman"/>
          <w:b/>
          <w:bCs/>
          <w:sz w:val="32"/>
          <w:szCs w:val="32"/>
          <w:lang w:val="en-US" w:eastAsia="zh-CN"/>
        </w:rPr>
        <w:t>.</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关于开展“张江树优博培育计划”博士生参加国际会议项目工作的通知</w:t>
      </w:r>
      <w:r>
        <w:rPr>
          <w:rFonts w:hint="default" w:ascii="Times New Roman" w:hAnsi="Times New Roman" w:eastAsia="仿宋" w:cs="Times New Roman"/>
          <w:b w:val="0"/>
          <w:bCs w:val="0"/>
          <w:sz w:val="32"/>
          <w:szCs w:val="32"/>
          <w:lang w:val="en-US" w:eastAsia="zh-CN"/>
        </w:rPr>
        <w:t>》</w:t>
      </w:r>
    </w:p>
    <w:p w14:paraId="7BDE83EB">
      <w:pPr>
        <w:numPr>
          <w:ilvl w:val="0"/>
          <w:numId w:val="5"/>
        </w:numPr>
        <w:spacing w:line="640" w:lineRule="exact"/>
        <w:ind w:left="0" w:firstLine="643" w:firstLineChars="200"/>
        <w:rPr>
          <w:rFonts w:hint="eastAsia" w:ascii="宋体" w:hAnsi="宋体" w:eastAsia="宋体" w:cs="宋体"/>
          <w:sz w:val="32"/>
          <w:szCs w:val="32"/>
        </w:rPr>
      </w:pPr>
      <w:r>
        <w:rPr>
          <w:rFonts w:ascii="宋体" w:hAnsi="宋体" w:eastAsia="宋体" w:cs="宋体"/>
          <w:b/>
          <w:bCs/>
          <w:sz w:val="32"/>
          <w:szCs w:val="32"/>
        </w:rPr>
        <w:t>资助拔尖</w:t>
      </w:r>
      <w:r>
        <w:rPr>
          <w:rFonts w:hint="eastAsia" w:ascii="宋体" w:hAnsi="宋体" w:eastAsia="宋体" w:cs="宋体"/>
          <w:b/>
          <w:bCs/>
          <w:sz w:val="32"/>
          <w:szCs w:val="32"/>
        </w:rPr>
        <w:t>创新</w:t>
      </w:r>
      <w:r>
        <w:rPr>
          <w:rFonts w:ascii="宋体" w:hAnsi="宋体" w:eastAsia="宋体" w:cs="宋体"/>
          <w:b/>
          <w:bCs/>
          <w:sz w:val="32"/>
          <w:szCs w:val="32"/>
        </w:rPr>
        <w:t>人才学术实践项目</w:t>
      </w:r>
    </w:p>
    <w:p w14:paraId="4A23A220">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具体措施：</w:t>
      </w:r>
    </w:p>
    <w:p w14:paraId="45251C72">
      <w:pPr>
        <w:pStyle w:val="12"/>
        <w:numPr>
          <w:ilvl w:val="0"/>
          <w:numId w:val="6"/>
        </w:numPr>
        <w:spacing w:line="240" w:lineRule="auto"/>
        <w:ind w:left="0" w:leftChars="0"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color w:val="000000" w:themeColor="text1"/>
          <w:sz w:val="32"/>
          <w:szCs w:val="32"/>
          <w14:textFill>
            <w14:solidFill>
              <w14:schemeClr w14:val="tx1"/>
            </w14:solidFill>
          </w14:textFill>
        </w:rPr>
        <w:t>资助开展本博</w:t>
      </w:r>
      <w:r>
        <w:rPr>
          <w:rFonts w:hint="default" w:ascii="Times New Roman" w:hAnsi="Times New Roman" w:eastAsia="仿宋" w:cs="Times New Roman"/>
          <w:sz w:val="32"/>
          <w:szCs w:val="32"/>
        </w:rPr>
        <w:t>拔尖创新人才的</w:t>
      </w:r>
      <w:r>
        <w:rPr>
          <w:rFonts w:hint="default" w:ascii="Times New Roman" w:hAnsi="Times New Roman" w:eastAsia="仿宋" w:cs="Times New Roman"/>
          <w:b/>
          <w:bCs/>
          <w:sz w:val="32"/>
          <w:szCs w:val="32"/>
        </w:rPr>
        <w:t>学院</w:t>
      </w:r>
      <w:r>
        <w:rPr>
          <w:rFonts w:hint="default" w:ascii="Times New Roman" w:hAnsi="Times New Roman" w:eastAsia="仿宋" w:cs="Times New Roman"/>
          <w:sz w:val="32"/>
          <w:szCs w:val="32"/>
        </w:rPr>
        <w:t>组织开展学术实践</w:t>
      </w:r>
      <w:r>
        <w:rPr>
          <w:rFonts w:hint="default" w:ascii="Times New Roman" w:hAnsi="Times New Roman" w:eastAsia="仿宋" w:cs="Times New Roman"/>
          <w:color w:val="000000" w:themeColor="text1"/>
          <w:sz w:val="32"/>
          <w:szCs w:val="32"/>
          <w14:textFill>
            <w14:solidFill>
              <w14:schemeClr w14:val="tx1"/>
            </w14:solidFill>
          </w14:textFill>
        </w:rPr>
        <w:t>项目经费，包括交通费、住宿费、注册费、交流活</w:t>
      </w:r>
      <w:r>
        <w:rPr>
          <w:rFonts w:hint="default" w:ascii="Times New Roman" w:hAnsi="Times New Roman" w:eastAsia="仿宋" w:cs="Times New Roman"/>
          <w:sz w:val="32"/>
          <w:szCs w:val="32"/>
        </w:rPr>
        <w:t>动费等必要开支。</w:t>
      </w:r>
    </w:p>
    <w:p w14:paraId="65D4FE10">
      <w:pPr>
        <w:pStyle w:val="12"/>
        <w:numPr>
          <w:ilvl w:val="0"/>
          <w:numId w:val="6"/>
        </w:numPr>
        <w:spacing w:line="240" w:lineRule="auto"/>
        <w:ind w:left="0" w:leftChars="0"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申报内容与具体要求见</w:t>
      </w:r>
      <w:r>
        <w:rPr>
          <w:rFonts w:hint="default" w:ascii="Times New Roman" w:hAnsi="Times New Roman" w:eastAsia="仿宋" w:cs="Times New Roman"/>
          <w:b/>
          <w:bCs/>
          <w:sz w:val="32"/>
          <w:szCs w:val="32"/>
        </w:rPr>
        <w:t>附件3</w:t>
      </w:r>
      <w:r>
        <w:rPr>
          <w:rFonts w:hint="default" w:ascii="Times New Roman" w:hAnsi="Times New Roman" w:eastAsia="仿宋" w:cs="Times New Roman"/>
          <w:b/>
          <w:bCs/>
          <w:sz w:val="32"/>
          <w:szCs w:val="32"/>
          <w:lang w:val="en-US" w:eastAsia="zh-CN"/>
        </w:rPr>
        <w:t>.</w:t>
      </w:r>
      <w:r>
        <w:rPr>
          <w:rFonts w:hint="default" w:ascii="Times New Roman" w:hAnsi="Times New Roman" w:eastAsia="仿宋" w:cs="Times New Roman"/>
          <w:sz w:val="32"/>
          <w:szCs w:val="32"/>
        </w:rPr>
        <w:t>《关于开展拔尖创新人才学术实践项目申报的通知》。</w:t>
      </w:r>
    </w:p>
    <w:p w14:paraId="0F64E0DC">
      <w:pPr>
        <w:numPr>
          <w:ilvl w:val="0"/>
          <w:numId w:val="6"/>
        </w:numPr>
        <w:spacing w:line="240" w:lineRule="auto"/>
        <w:ind w:left="0" w:leftChars="0" w:firstLine="640" w:firstLineChars="200"/>
        <w:rPr>
          <w:rFonts w:hint="eastAsia" w:ascii="仿宋" w:hAnsi="仿宋" w:eastAsia="仿宋" w:cs="仿宋"/>
          <w:color w:val="000000" w:themeColor="text1"/>
          <w:sz w:val="32"/>
          <w:szCs w:val="32"/>
          <w:highlight w:val="none"/>
          <w14:textFill>
            <w14:solidFill>
              <w14:schemeClr w14:val="tx1"/>
            </w14:solidFill>
          </w14:textFill>
        </w:rPr>
      </w:pPr>
      <w:r>
        <w:rPr>
          <w:rFonts w:hint="default" w:ascii="Times New Roman" w:hAnsi="Times New Roman" w:eastAsia="仿宋" w:cs="Times New Roman"/>
          <w:color w:val="000000" w:themeColor="text1"/>
          <w:sz w:val="32"/>
          <w:szCs w:val="32"/>
          <w:highlight w:val="none"/>
          <w14:textFill>
            <w14:solidFill>
              <w14:schemeClr w14:val="tx1"/>
            </w14:solidFill>
          </w14:textFill>
        </w:rPr>
        <w:t>项目立项后带队老师可等</w:t>
      </w:r>
      <w:r>
        <w:rPr>
          <w:rFonts w:hint="eastAsia" w:ascii="仿宋" w:hAnsi="仿宋" w:eastAsia="仿宋" w:cs="仿宋"/>
          <w:color w:val="000000" w:themeColor="text1"/>
          <w:sz w:val="32"/>
          <w:szCs w:val="32"/>
          <w:highlight w:val="none"/>
          <w14:textFill>
            <w14:solidFill>
              <w14:schemeClr w14:val="tx1"/>
            </w14:solidFill>
          </w14:textFill>
        </w:rPr>
        <w:t>同于一项研究生教改实践项目。</w:t>
      </w:r>
    </w:p>
    <w:p w14:paraId="53AAFE39">
      <w:pPr>
        <w:spacing w:line="240" w:lineRule="auto"/>
        <w:rPr>
          <w:rFonts w:hint="eastAsia" w:ascii="仿宋" w:hAnsi="仿宋" w:eastAsia="仿宋" w:cs="仿宋"/>
          <w:sz w:val="32"/>
          <w:szCs w:val="32"/>
        </w:rPr>
      </w:pPr>
    </w:p>
    <w:p w14:paraId="085A3B14">
      <w:pPr>
        <w:spacing w:line="24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通过“研究生卓越成长与学术交流促进计划”，我们将为同学们搭建成长的桥梁，提供更多的学术交流和实践机会，助力他们成长为具有国际竞争力的拔尖创新人才。展望未来，我们期待更多华理的青年才俊在全球舞台上绽放光彩！</w:t>
      </w:r>
    </w:p>
    <w:p w14:paraId="13035D22">
      <w:pPr>
        <w:spacing w:line="240" w:lineRule="auto"/>
        <w:ind w:firstLine="0" w:firstLineChars="0"/>
        <w:rPr>
          <w:rFonts w:hint="eastAsia" w:ascii="仿宋" w:hAnsi="仿宋" w:eastAsia="仿宋" w:cs="仿宋"/>
          <w:sz w:val="32"/>
          <w:szCs w:val="32"/>
        </w:rPr>
      </w:pPr>
      <w:r>
        <w:rPr>
          <w:rFonts w:hint="eastAsia" w:ascii="仿宋" w:hAnsi="仿宋" w:eastAsia="仿宋" w:cs="仿宋"/>
          <w:sz w:val="32"/>
          <w:szCs w:val="32"/>
        </w:rPr>
        <w:br w:type="page"/>
      </w:r>
    </w:p>
    <w:p w14:paraId="07BA7682">
      <w:pPr>
        <w:spacing w:line="640" w:lineRule="exact"/>
        <w:ind w:firstLine="0" w:firstLineChars="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附件1.</w:t>
      </w:r>
    </w:p>
    <w:p w14:paraId="38304D13">
      <w:pPr>
        <w:jc w:val="center"/>
        <w:rPr>
          <w:rFonts w:hint="default" w:ascii="Times New Roman" w:hAnsi="Times New Roman" w:eastAsia="宋体" w:cs="Times New Roman"/>
          <w:b/>
          <w:bCs/>
          <w:sz w:val="36"/>
          <w:szCs w:val="36"/>
          <w:lang w:val="en-US" w:eastAsia="zh-CN"/>
        </w:rPr>
      </w:pPr>
      <w:r>
        <w:rPr>
          <w:rFonts w:hint="eastAsia" w:ascii="宋体" w:hAnsi="宋体" w:eastAsia="宋体" w:cs="宋体"/>
          <w:b/>
          <w:bCs/>
          <w:sz w:val="36"/>
          <w:szCs w:val="36"/>
          <w:lang w:val="en-US" w:eastAsia="zh-CN"/>
        </w:rPr>
        <w:t>关于启动</w:t>
      </w:r>
      <w:r>
        <w:rPr>
          <w:rFonts w:hint="default" w:ascii="Times New Roman" w:hAnsi="Times New Roman" w:eastAsia="宋体" w:cs="Times New Roman"/>
          <w:b/>
          <w:bCs/>
          <w:sz w:val="36"/>
          <w:szCs w:val="36"/>
          <w:lang w:val="en-US" w:eastAsia="zh-CN"/>
        </w:rPr>
        <w:t>2025年资助研究生参加国际高水平会议和访学项目工作的通知</w:t>
      </w:r>
    </w:p>
    <w:p w14:paraId="08D8029B">
      <w:pPr>
        <w:keepNext w:val="0"/>
        <w:keepLines w:val="0"/>
        <w:pageBreakBefore w:val="0"/>
        <w:widowControl w:val="0"/>
        <w:kinsoku/>
        <w:wordWrap/>
        <w:overflowPunct/>
        <w:topLinePunct w:val="0"/>
        <w:autoSpaceDE/>
        <w:autoSpaceDN/>
        <w:bidi w:val="0"/>
        <w:adjustRightInd/>
        <w:snapToGrid/>
        <w:spacing w:before="120"/>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根据《华东理工大学资助研究生参加国际高水平会议和访学项目实施细则》，现启动2025年资助研究生参加高水平会议和访学项目的申报工作。具体工作安排如下：</w:t>
      </w:r>
    </w:p>
    <w:p w14:paraId="4B8EEEA4">
      <w:pPr>
        <w:numPr>
          <w:ilvl w:val="0"/>
          <w:numId w:val="7"/>
        </w:numPr>
        <w:ind w:firstLine="640" w:firstLineChars="20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申报时间</w:t>
      </w:r>
    </w:p>
    <w:p w14:paraId="59DF6A12">
      <w:pPr>
        <w:numPr>
          <w:ilvl w:val="0"/>
          <w:numId w:val="0"/>
        </w:num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自发布通知起至2025年3月27日。</w:t>
      </w:r>
    </w:p>
    <w:p w14:paraId="0021B62E">
      <w:pPr>
        <w:numPr>
          <w:ilvl w:val="0"/>
          <w:numId w:val="7"/>
        </w:numPr>
        <w:ind w:left="0" w:leftChars="0" w:firstLine="640" w:firstLineChars="20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申报范围</w:t>
      </w:r>
    </w:p>
    <w:p w14:paraId="6D753A36">
      <w:pPr>
        <w:numPr>
          <w:ilvl w:val="0"/>
          <w:numId w:val="0"/>
        </w:num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国际高水平会议为2024年11月16日-2025年11月15日期间召开，中央专项经费报销在2025年11月30日前完成。</w:t>
      </w:r>
    </w:p>
    <w:p w14:paraId="6AF53EB2">
      <w:pPr>
        <w:numPr>
          <w:ilvl w:val="0"/>
          <w:numId w:val="7"/>
        </w:numPr>
        <w:ind w:left="0" w:leftChars="0"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申报条件和要求</w:t>
      </w:r>
    </w:p>
    <w:p w14:paraId="1E574FEB">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具体要求见《资助研究生参加国际高水平会议和访学项目申报注意事项》。</w:t>
      </w:r>
    </w:p>
    <w:p w14:paraId="29334E3E">
      <w:pPr>
        <w:numPr>
          <w:ilvl w:val="0"/>
          <w:numId w:val="7"/>
        </w:numPr>
        <w:ind w:left="0" w:leftChars="0"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提交材料</w:t>
      </w:r>
    </w:p>
    <w:p w14:paraId="2605BCDB">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1．拟申请资助的学生须向所在培养单位提交以下材料：</w:t>
      </w:r>
    </w:p>
    <w:p w14:paraId="7859141C">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（1）《华东理工大学资助研究生参加国际高水平会议和访学项目申请书》</w:t>
      </w:r>
    </w:p>
    <w:p w14:paraId="227EA38E">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（2）摘要或论文录用函和大会正式邀请函（如无书面邀请函，须将电子邀请函经导师签名确认后提交）</w:t>
      </w:r>
    </w:p>
    <w:p w14:paraId="1553FE73">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（3）官方会议日程安排表</w:t>
      </w:r>
    </w:p>
    <w:p w14:paraId="14E9D259">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2．学生所在培养单位对学生所参加国际学术会议的内容、在所属领域会议的水平等情况进行审核，并填写《资助研究生参加国际高水平会议和访学项目申请情况一览表》，确定学院申请人推荐顺序。</w:t>
      </w:r>
    </w:p>
    <w:p w14:paraId="34C080E9">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color w:val="auto"/>
          <w:sz w:val="32"/>
          <w:szCs w:val="32"/>
          <w:u w:val="none"/>
          <w:lang w:val="en-US" w:eastAsia="zh-CN"/>
        </w:rPr>
        <w:t>3．各培养单位向研究生院提交《资助研究生参加国际高水平会议和访学项目申请情况一览表》（须同时提交电子版至pyb@ecust.edu.cn）、学生申请材料（按上述顺序提交）。以上纸版材料一式一份，交至研究生院培养办（研究生楼813室），提交时间截至2025年3月28日（周五）。</w:t>
      </w:r>
    </w:p>
    <w:p w14:paraId="663C31D4">
      <w:pPr>
        <w:ind w:firstLine="600" w:firstLineChars="200"/>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五、批复结果</w:t>
      </w:r>
    </w:p>
    <w:p w14:paraId="06CDC0C3">
      <w:pPr>
        <w:ind w:firstLine="640" w:firstLineChars="200"/>
        <w:rPr>
          <w:rFonts w:hint="eastAsia" w:ascii="仿宋" w:hAnsi="仿宋" w:eastAsia="仿宋" w:cs="仿宋"/>
          <w:color w:val="auto"/>
          <w:sz w:val="32"/>
          <w:szCs w:val="32"/>
          <w:u w:val="none"/>
          <w:lang w:val="en-US" w:eastAsia="zh-CN"/>
        </w:rPr>
      </w:pPr>
      <w:r>
        <w:rPr>
          <w:rFonts w:hint="eastAsia" w:ascii="仿宋" w:hAnsi="仿宋" w:eastAsia="仿宋" w:cs="仿宋"/>
          <w:color w:val="auto"/>
          <w:sz w:val="32"/>
          <w:szCs w:val="32"/>
          <w:u w:val="none"/>
          <w:lang w:val="en-US" w:eastAsia="zh-CN"/>
        </w:rPr>
        <w:t>申请人在规定时间内填写并递交申报材料，经专家评审、公示后，即视为审核通过。审批结果在研究生网站公布。</w:t>
      </w:r>
    </w:p>
    <w:p w14:paraId="1D9B751F">
      <w:pPr>
        <w:ind w:firstLine="640" w:firstLineChars="200"/>
        <w:rPr>
          <w:rFonts w:hint="eastAsia" w:ascii="仿宋" w:hAnsi="仿宋" w:eastAsia="仿宋" w:cs="仿宋"/>
          <w:sz w:val="32"/>
          <w:szCs w:val="32"/>
          <w:lang w:val="en-US" w:eastAsia="zh-CN"/>
        </w:rPr>
      </w:pPr>
    </w:p>
    <w:p w14:paraId="713CED29">
      <w:pPr>
        <w:ind w:firstLine="640" w:firstLineChars="200"/>
        <w:jc w:val="right"/>
        <w:rPr>
          <w:rFonts w:hint="default" w:ascii="Times New Roman" w:hAnsi="Times New Roman" w:eastAsia="仿宋" w:cs="Times New Roman"/>
          <w:color w:val="auto"/>
          <w:sz w:val="32"/>
          <w:szCs w:val="32"/>
          <w:u w:val="none"/>
          <w:lang w:val="en-US" w:eastAsia="zh-CN"/>
        </w:rPr>
      </w:pPr>
      <w:r>
        <w:rPr>
          <w:rFonts w:hint="default" w:ascii="Times New Roman" w:hAnsi="Times New Roman" w:eastAsia="仿宋" w:cs="Times New Roman"/>
          <w:color w:val="auto"/>
          <w:sz w:val="32"/>
          <w:szCs w:val="32"/>
          <w:u w:val="none"/>
          <w:lang w:val="en-US" w:eastAsia="zh-CN"/>
        </w:rPr>
        <w:t>研究生院</w:t>
      </w:r>
    </w:p>
    <w:p w14:paraId="15B6C110">
      <w:pPr>
        <w:ind w:firstLine="640" w:firstLineChars="200"/>
        <w:jc w:val="right"/>
        <w:rPr>
          <w:rFonts w:hint="default" w:ascii="Times New Roman" w:hAnsi="Times New Roman" w:eastAsia="仿宋" w:cs="Times New Roman"/>
          <w:color w:val="auto"/>
          <w:sz w:val="32"/>
          <w:szCs w:val="32"/>
          <w:u w:val="none"/>
          <w:lang w:val="en-US" w:eastAsia="zh-CN"/>
        </w:rPr>
      </w:pPr>
      <w:r>
        <w:rPr>
          <w:rFonts w:hint="default" w:ascii="Times New Roman" w:hAnsi="Times New Roman" w:eastAsia="仿宋" w:cs="Times New Roman"/>
          <w:color w:val="auto"/>
          <w:sz w:val="32"/>
          <w:szCs w:val="32"/>
          <w:u w:val="none"/>
          <w:lang w:val="en-US" w:eastAsia="zh-CN"/>
        </w:rPr>
        <w:t>2024年11月25日</w:t>
      </w:r>
    </w:p>
    <w:p w14:paraId="547E2D66">
      <w:pPr>
        <w:spacing w:line="640" w:lineRule="exact"/>
        <w:ind w:firstLine="640" w:firstLineChars="200"/>
        <w:rPr>
          <w:rFonts w:hint="default" w:ascii="仿宋" w:hAnsi="仿宋" w:eastAsia="仿宋" w:cs="仿宋"/>
          <w:sz w:val="32"/>
          <w:szCs w:val="32"/>
          <w:lang w:val="en-US" w:eastAsia="zh-CN"/>
        </w:rPr>
      </w:pPr>
    </w:p>
    <w:p w14:paraId="118F7209">
      <w:pPr>
        <w:spacing w:line="640" w:lineRule="exact"/>
        <w:ind w:firstLine="640" w:firstLineChars="200"/>
        <w:rPr>
          <w:rFonts w:hint="default" w:ascii="仿宋" w:hAnsi="仿宋" w:eastAsia="仿宋" w:cs="仿宋"/>
          <w:sz w:val="32"/>
          <w:szCs w:val="32"/>
          <w:lang w:val="en-US" w:eastAsia="zh-CN"/>
        </w:rPr>
      </w:pPr>
    </w:p>
    <w:p w14:paraId="7CF1A54C">
      <w:pPr>
        <w:spacing w:line="240" w:lineRule="auto"/>
        <w:ind w:firstLine="0" w:firstLineChars="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br w:type="page"/>
      </w:r>
    </w:p>
    <w:p w14:paraId="5BC2ECA7">
      <w:pPr>
        <w:spacing w:line="640" w:lineRule="exact"/>
        <w:ind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附件2.</w:t>
      </w:r>
    </w:p>
    <w:p w14:paraId="2E901BC6">
      <w:pPr>
        <w:jc w:val="center"/>
        <w:rPr>
          <w:rFonts w:hint="default" w:ascii="宋体" w:hAnsi="宋体" w:eastAsia="宋体" w:cs="宋体"/>
          <w:b/>
          <w:bCs/>
          <w:sz w:val="36"/>
          <w:szCs w:val="36"/>
          <w:lang w:val="en-US" w:eastAsia="zh-CN"/>
        </w:rPr>
      </w:pPr>
      <w:r>
        <w:rPr>
          <w:rFonts w:hint="eastAsia" w:ascii="宋体" w:hAnsi="宋体" w:eastAsia="宋体" w:cs="宋体"/>
          <w:b/>
          <w:bCs/>
          <w:sz w:val="36"/>
          <w:szCs w:val="36"/>
          <w:lang w:val="en-US" w:eastAsia="zh-CN"/>
        </w:rPr>
        <w:t>关于开展“张江树优博培育计划”博士生参加国际会议项目工作的通知</w:t>
      </w:r>
    </w:p>
    <w:p w14:paraId="03EB8DC8">
      <w:pPr>
        <w:keepNext w:val="0"/>
        <w:keepLines w:val="0"/>
        <w:pageBreakBefore w:val="0"/>
        <w:widowControl w:val="0"/>
        <w:kinsoku/>
        <w:wordWrap/>
        <w:overflowPunct/>
        <w:topLinePunct w:val="0"/>
        <w:autoSpaceDE/>
        <w:autoSpaceDN/>
        <w:bidi w:val="0"/>
        <w:adjustRightInd/>
        <w:snapToGrid/>
        <w:spacing w:before="12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根据学校相关政策，2025年每位张江树优博培育计划入选者在入选期间，将额外享受一次全额资助的国际会议机会，现将具体申报工作安排如下：</w:t>
      </w:r>
    </w:p>
    <w:p w14:paraId="7CA736C8">
      <w:pPr>
        <w:numPr>
          <w:ilvl w:val="0"/>
          <w:numId w:val="8"/>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申报时间</w:t>
      </w:r>
    </w:p>
    <w:p w14:paraId="3FDADEC0">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自发布通知起至2025年3月27日。</w:t>
      </w:r>
    </w:p>
    <w:p w14:paraId="16C79315">
      <w:pPr>
        <w:numPr>
          <w:ilvl w:val="0"/>
          <w:numId w:val="8"/>
        </w:numPr>
        <w:ind w:left="0" w:leftChars="0"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申报范围</w:t>
      </w:r>
    </w:p>
    <w:p w14:paraId="07338376">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国际会议为2024年11月16日-2025年11月15日期间召开，中央专项经费报销在2025年11月30日前完成。</w:t>
      </w:r>
    </w:p>
    <w:p w14:paraId="5D1B0FE4">
      <w:pPr>
        <w:numPr>
          <w:ilvl w:val="0"/>
          <w:numId w:val="8"/>
        </w:numPr>
        <w:ind w:left="0" w:leftChars="0"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申报对象</w:t>
      </w:r>
    </w:p>
    <w:p w14:paraId="1727B2F1">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入选“张江树优博培育计划”博士生</w:t>
      </w:r>
    </w:p>
    <w:p w14:paraId="72B8C6DB">
      <w:pPr>
        <w:numPr>
          <w:ilvl w:val="0"/>
          <w:numId w:val="8"/>
        </w:numPr>
        <w:ind w:left="0" w:leftChars="0"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资助标准</w:t>
      </w:r>
    </w:p>
    <w:p w14:paraId="04542795">
      <w:pPr>
        <w:numPr>
          <w:ilvl w:val="0"/>
          <w:numId w:val="0"/>
        </w:numPr>
        <w:ind w:firstLine="640" w:firstLineChars="200"/>
        <w:rPr>
          <w:rFonts w:hint="eastAsia" w:ascii="黑体" w:hAnsi="黑体" w:eastAsia="仿宋" w:cs="黑体"/>
          <w:sz w:val="32"/>
          <w:szCs w:val="32"/>
          <w:lang w:val="en-US" w:eastAsia="zh-CN"/>
        </w:rPr>
      </w:pPr>
      <w:r>
        <w:rPr>
          <w:rFonts w:hint="default" w:ascii="Times New Roman" w:hAnsi="Times New Roman" w:eastAsia="仿宋" w:cs="Times New Roman"/>
          <w:sz w:val="32"/>
          <w:szCs w:val="32"/>
        </w:rPr>
        <w:t>无需按参会形式比例分担，</w:t>
      </w:r>
      <w:r>
        <w:rPr>
          <w:rFonts w:hint="eastAsia" w:ascii="Times New Roman" w:hAnsi="Times New Roman" w:eastAsia="仿宋" w:cs="Times New Roman"/>
          <w:sz w:val="32"/>
          <w:szCs w:val="32"/>
          <w:lang w:val="en-US" w:eastAsia="zh-CN"/>
        </w:rPr>
        <w:t>个人</w:t>
      </w:r>
      <w:r>
        <w:rPr>
          <w:rFonts w:hint="default" w:ascii="Times New Roman" w:hAnsi="Times New Roman" w:eastAsia="仿宋" w:cs="Times New Roman"/>
          <w:sz w:val="32"/>
          <w:szCs w:val="32"/>
        </w:rPr>
        <w:t>资助上限为2万元</w:t>
      </w:r>
      <w:r>
        <w:rPr>
          <w:rFonts w:hint="eastAsia" w:ascii="Times New Roman" w:hAnsi="Times New Roman" w:eastAsia="仿宋" w:cs="Times New Roman"/>
          <w:sz w:val="32"/>
          <w:szCs w:val="32"/>
          <w:lang w:eastAsia="zh-CN"/>
        </w:rPr>
        <w:t>，</w:t>
      </w:r>
      <w:r>
        <w:rPr>
          <w:rFonts w:hint="default" w:ascii="Times New Roman" w:hAnsi="Times New Roman" w:eastAsia="仿宋" w:cs="Times New Roman"/>
          <w:sz w:val="32"/>
          <w:szCs w:val="32"/>
        </w:rPr>
        <w:t>涵盖交通费、住宿费及注册费</w:t>
      </w:r>
      <w:r>
        <w:rPr>
          <w:rFonts w:hint="eastAsia" w:ascii="Times New Roman" w:hAnsi="Times New Roman" w:eastAsia="仿宋" w:cs="Times New Roman"/>
          <w:sz w:val="32"/>
          <w:szCs w:val="32"/>
          <w:lang w:eastAsia="zh-CN"/>
        </w:rPr>
        <w:t>。</w:t>
      </w:r>
    </w:p>
    <w:p w14:paraId="6C02FE9A">
      <w:pPr>
        <w:numPr>
          <w:ilvl w:val="0"/>
          <w:numId w:val="8"/>
        </w:numPr>
        <w:ind w:left="0" w:leftChars="0"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提交材料</w:t>
      </w:r>
    </w:p>
    <w:p w14:paraId="7A71A8DC">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1．拟申请资助的学生须向所在培养单位提交以下材料：</w:t>
      </w:r>
    </w:p>
    <w:p w14:paraId="7AB60B47">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（1）《华东理工大学资助“张江树优博培育计划”博士生参加国际会议项目申请书》</w:t>
      </w:r>
    </w:p>
    <w:p w14:paraId="4A028923">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（2）摘要或论文录用函和大会正式邀请函（如无书面邀请函，须将电子邀请函经导师签名确认后提交）</w:t>
      </w:r>
    </w:p>
    <w:p w14:paraId="420F77DF">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（3）官方会议日程安排表</w:t>
      </w:r>
    </w:p>
    <w:p w14:paraId="723162D3">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2．学生所在培养单位对学生所参加国际学术会议的内容、在所属领域会议的水平等情况进行审核。</w:t>
      </w:r>
    </w:p>
    <w:p w14:paraId="508F1394">
      <w:pPr>
        <w:ind w:firstLine="640" w:firstLineChars="200"/>
        <w:rPr>
          <w:rFonts w:hint="eastAsia" w:ascii="仿宋" w:hAnsi="仿宋" w:eastAsia="仿宋" w:cs="仿宋"/>
          <w:sz w:val="32"/>
          <w:szCs w:val="32"/>
          <w:lang w:val="en-US" w:eastAsia="zh-CN"/>
        </w:rPr>
      </w:pPr>
      <w:r>
        <w:rPr>
          <w:rFonts w:hint="eastAsia" w:ascii="仿宋" w:hAnsi="仿宋" w:eastAsia="仿宋" w:cs="仿宋"/>
          <w:color w:val="auto"/>
          <w:sz w:val="32"/>
          <w:szCs w:val="32"/>
          <w:u w:val="none"/>
          <w:lang w:val="en-US" w:eastAsia="zh-CN"/>
        </w:rPr>
        <w:t>3．各培养单位向研究生院提交学生申请材料（按上述顺序提交），纸版材料一式一份，交至研究生院培养办（研究生楼813室），提交时间截至2025年3月28日（周五）。</w:t>
      </w:r>
    </w:p>
    <w:p w14:paraId="5ADDC6E5">
      <w:pPr>
        <w:ind w:firstLine="640" w:firstLineChars="200"/>
        <w:rPr>
          <w:rFonts w:hint="eastAsia" w:ascii="宋体" w:hAnsi="宋体" w:eastAsia="宋体" w:cs="宋体"/>
          <w:sz w:val="32"/>
          <w:szCs w:val="32"/>
          <w:lang w:val="en-US" w:eastAsia="zh-CN"/>
        </w:rPr>
      </w:pPr>
    </w:p>
    <w:p w14:paraId="6C048583">
      <w:pPr>
        <w:ind w:firstLine="640" w:firstLineChars="200"/>
        <w:jc w:val="right"/>
        <w:rPr>
          <w:rFonts w:hint="eastAsia" w:ascii="仿宋" w:hAnsi="仿宋" w:eastAsia="仿宋" w:cs="仿宋"/>
          <w:color w:val="auto"/>
          <w:sz w:val="32"/>
          <w:szCs w:val="32"/>
          <w:u w:val="none"/>
          <w:lang w:val="en-US" w:eastAsia="zh-CN"/>
        </w:rPr>
      </w:pPr>
      <w:r>
        <w:rPr>
          <w:rFonts w:hint="eastAsia" w:ascii="仿宋" w:hAnsi="仿宋" w:eastAsia="仿宋" w:cs="仿宋"/>
          <w:color w:val="auto"/>
          <w:sz w:val="32"/>
          <w:szCs w:val="32"/>
          <w:u w:val="none"/>
          <w:lang w:val="en-US" w:eastAsia="zh-CN"/>
        </w:rPr>
        <w:t>研究生院</w:t>
      </w:r>
    </w:p>
    <w:p w14:paraId="2FA34184">
      <w:pPr>
        <w:ind w:firstLine="640" w:firstLineChars="200"/>
        <w:jc w:val="right"/>
        <w:rPr>
          <w:rFonts w:hint="default" w:ascii="仿宋" w:hAnsi="仿宋" w:eastAsia="仿宋" w:cs="仿宋"/>
          <w:color w:val="auto"/>
          <w:sz w:val="32"/>
          <w:szCs w:val="32"/>
          <w:u w:val="none"/>
          <w:lang w:val="en-US" w:eastAsia="zh-CN"/>
        </w:rPr>
      </w:pPr>
      <w:r>
        <w:rPr>
          <w:rFonts w:hint="eastAsia" w:ascii="仿宋" w:hAnsi="仿宋" w:eastAsia="仿宋" w:cs="仿宋"/>
          <w:color w:val="auto"/>
          <w:sz w:val="32"/>
          <w:szCs w:val="32"/>
          <w:u w:val="none"/>
          <w:lang w:val="en-US" w:eastAsia="zh-CN"/>
        </w:rPr>
        <w:t>2024年11月25日</w:t>
      </w:r>
    </w:p>
    <w:p w14:paraId="67F27689">
      <w:pPr>
        <w:spacing w:line="640" w:lineRule="exact"/>
        <w:ind w:firstLine="640" w:firstLineChars="200"/>
        <w:rPr>
          <w:rFonts w:hint="default" w:ascii="仿宋" w:hAnsi="仿宋" w:eastAsia="仿宋" w:cs="仿宋"/>
          <w:sz w:val="32"/>
          <w:szCs w:val="32"/>
          <w:lang w:val="en-US" w:eastAsia="zh-CN"/>
        </w:rPr>
      </w:pPr>
    </w:p>
    <w:p w14:paraId="4FA984FE">
      <w:pPr>
        <w:spacing w:line="240" w:lineRule="auto"/>
        <w:ind w:firstLine="0" w:firstLineChars="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br w:type="page"/>
      </w:r>
    </w:p>
    <w:p w14:paraId="5BEE4204">
      <w:pPr>
        <w:spacing w:line="640" w:lineRule="exact"/>
        <w:ind w:firstLine="0" w:firstLineChars="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附件3.</w:t>
      </w:r>
    </w:p>
    <w:p w14:paraId="490C19A0">
      <w:pPr>
        <w:pStyle w:val="5"/>
        <w:widowControl/>
        <w:spacing w:before="210" w:beforeAutospacing="0" w:afterAutospacing="0" w:line="560" w:lineRule="exact"/>
        <w:jc w:val="center"/>
        <w:rPr>
          <w:rFonts w:hint="eastAsia" w:ascii="宋体" w:hAnsi="宋体" w:eastAsia="宋体" w:cs="宋体"/>
          <w:color w:val="000000" w:themeColor="text1"/>
          <w:sz w:val="36"/>
          <w:szCs w:val="36"/>
          <w14:textFill>
            <w14:solidFill>
              <w14:schemeClr w14:val="tx1"/>
            </w14:solidFill>
          </w14:textFill>
        </w:rPr>
      </w:pPr>
      <w:r>
        <w:rPr>
          <w:rStyle w:val="8"/>
          <w:rFonts w:hint="eastAsia" w:ascii="宋体" w:hAnsi="宋体" w:eastAsia="宋体" w:cs="宋体"/>
          <w:bCs/>
          <w:color w:val="000000" w:themeColor="text1"/>
          <w:sz w:val="36"/>
          <w:szCs w:val="36"/>
          <w14:textFill>
            <w14:solidFill>
              <w14:schemeClr w14:val="tx1"/>
            </w14:solidFill>
          </w14:textFill>
        </w:rPr>
        <w:t>关于开展拔尖创新人才学术实践项目申报的通知</w:t>
      </w:r>
    </w:p>
    <w:p w14:paraId="1B916FA0">
      <w:pPr>
        <w:pStyle w:val="5"/>
        <w:widowControl/>
        <w:spacing w:before="210" w:beforeAutospacing="0" w:afterAutospacing="0"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为深入实施拔尖创新人才培养战略，积极拓宽学生的国际视野，增强其学术交流与实践能力，现决定面向拔尖创新人才培养计划项目实施学院，开展资助学生参加国内外学术交流和实践项目的申报工作。现将有关事项通知如下：</w:t>
      </w:r>
    </w:p>
    <w:p w14:paraId="1A90FA51">
      <w:pPr>
        <w:widowControl/>
        <w:numPr>
          <w:ilvl w:val="0"/>
          <w:numId w:val="9"/>
        </w:numPr>
        <w:spacing w:before="210" w:beforeAutospacing="0" w:after="120" w:afterAutospacing="0" w:line="560" w:lineRule="exact"/>
        <w:ind w:firstLine="640" w:firstLineChars="200"/>
        <w:rPr>
          <w:rFonts w:ascii="黑体" w:hAnsi="黑体" w:eastAsia="黑体" w:cs="黑体"/>
          <w:b w:val="0"/>
          <w:bCs w:val="0"/>
          <w:color w:val="000000" w:themeColor="text1"/>
          <w:sz w:val="32"/>
          <w:szCs w:val="32"/>
          <w14:textFill>
            <w14:solidFill>
              <w14:schemeClr w14:val="tx1"/>
            </w14:solidFill>
          </w14:textFill>
        </w:rPr>
      </w:pPr>
      <w:r>
        <w:rPr>
          <w:rFonts w:ascii="黑体" w:hAnsi="黑体" w:eastAsia="黑体" w:cs="黑体"/>
          <w:b w:val="0"/>
          <w:bCs w:val="0"/>
          <w:color w:val="000000" w:themeColor="text1"/>
          <w:sz w:val="32"/>
          <w:szCs w:val="32"/>
          <w14:textFill>
            <w14:solidFill>
              <w14:schemeClr w14:val="tx1"/>
            </w14:solidFill>
          </w14:textFill>
        </w:rPr>
        <w:t>项目</w:t>
      </w:r>
      <w:r>
        <w:rPr>
          <w:rFonts w:hint="eastAsia" w:ascii="黑体" w:hAnsi="黑体" w:eastAsia="黑体" w:cs="黑体"/>
          <w:b w:val="0"/>
          <w:bCs w:val="0"/>
          <w:color w:val="000000" w:themeColor="text1"/>
          <w:sz w:val="32"/>
          <w:szCs w:val="32"/>
          <w14:textFill>
            <w14:solidFill>
              <w14:schemeClr w14:val="tx1"/>
            </w14:solidFill>
          </w14:textFill>
        </w:rPr>
        <w:t>背景</w:t>
      </w:r>
      <w:r>
        <w:rPr>
          <w:rFonts w:ascii="黑体" w:hAnsi="黑体" w:eastAsia="黑体" w:cs="黑体"/>
          <w:b w:val="0"/>
          <w:bCs w:val="0"/>
          <w:color w:val="000000" w:themeColor="text1"/>
          <w:sz w:val="32"/>
          <w:szCs w:val="32"/>
          <w14:textFill>
            <w14:solidFill>
              <w14:schemeClr w14:val="tx1"/>
            </w14:solidFill>
          </w14:textFill>
        </w:rPr>
        <w:t>与目的</w:t>
      </w:r>
    </w:p>
    <w:p w14:paraId="68022BC0">
      <w:pPr>
        <w:pStyle w:val="5"/>
        <w:widowControl/>
        <w:spacing w:beforeAutospacing="0" w:afterAutospacing="0"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在全球化和知识经济的背景下，学术交流已成为推动科技进步和创新发展的重要动力。本项目旨在通过资助集中组织入选拔尖创新人才培养项目的学生参加国际高水平的学术会议、双边研讨会、短期课程、短期访学等学术交流和实践活动，培养学生的综合素养和创新能力，同时提升学校的国际影响力。</w:t>
      </w:r>
    </w:p>
    <w:p w14:paraId="1704F83E">
      <w:pPr>
        <w:widowControl/>
        <w:numPr>
          <w:ilvl w:val="0"/>
          <w:numId w:val="9"/>
        </w:numPr>
        <w:spacing w:before="210" w:beforeAutospacing="0" w:after="120" w:afterAutospacing="0" w:line="560" w:lineRule="exact"/>
        <w:ind w:firstLine="640" w:firstLineChars="200"/>
        <w:rPr>
          <w:rFonts w:ascii="黑体" w:hAnsi="黑体" w:eastAsia="黑体" w:cs="黑体"/>
          <w:b w:val="0"/>
          <w:bCs w:val="0"/>
          <w:color w:val="000000" w:themeColor="text1"/>
          <w:sz w:val="32"/>
          <w:szCs w:val="32"/>
          <w14:textFill>
            <w14:solidFill>
              <w14:schemeClr w14:val="tx1"/>
            </w14:solidFill>
          </w14:textFill>
        </w:rPr>
      </w:pPr>
      <w:r>
        <w:rPr>
          <w:rFonts w:ascii="黑体" w:hAnsi="黑体" w:eastAsia="黑体" w:cs="黑体"/>
          <w:b w:val="0"/>
          <w:bCs w:val="0"/>
          <w:color w:val="000000" w:themeColor="text1"/>
          <w:sz w:val="32"/>
          <w:szCs w:val="32"/>
          <w14:textFill>
            <w14:solidFill>
              <w14:schemeClr w14:val="tx1"/>
            </w14:solidFill>
          </w14:textFill>
        </w:rPr>
        <w:t>申报单位与对象</w:t>
      </w:r>
    </w:p>
    <w:p w14:paraId="161EBFC5">
      <w:pPr>
        <w:widowControl/>
        <w:spacing w:line="560" w:lineRule="exact"/>
        <w:ind w:firstLine="643" w:firstLineChars="200"/>
        <w:rPr>
          <w:rFonts w:hint="eastAsia" w:ascii="仿宋" w:hAnsi="仿宋" w:eastAsia="仿宋" w:cs="仿宋"/>
          <w:color w:val="000000" w:themeColor="text1"/>
          <w:sz w:val="32"/>
          <w:szCs w:val="32"/>
          <w14:textFill>
            <w14:solidFill>
              <w14:schemeClr w14:val="tx1"/>
            </w14:solidFill>
          </w14:textFill>
        </w:rPr>
      </w:pPr>
      <w:r>
        <w:rPr>
          <w:rStyle w:val="8"/>
          <w:rFonts w:hint="eastAsia" w:ascii="仿宋" w:hAnsi="仿宋" w:eastAsia="仿宋" w:cs="仿宋"/>
          <w:bCs/>
          <w:color w:val="000000" w:themeColor="text1"/>
          <w:sz w:val="32"/>
          <w:szCs w:val="32"/>
          <w14:textFill>
            <w14:solidFill>
              <w14:schemeClr w14:val="tx1"/>
            </w14:solidFill>
          </w14:textFill>
        </w:rPr>
        <w:t>申报单位</w:t>
      </w:r>
      <w:r>
        <w:rPr>
          <w:rFonts w:hint="eastAsia" w:ascii="仿宋" w:hAnsi="仿宋" w:eastAsia="仿宋" w:cs="仿宋"/>
          <w:color w:val="000000" w:themeColor="text1"/>
          <w:sz w:val="32"/>
          <w:szCs w:val="32"/>
          <w14:textFill>
            <w14:solidFill>
              <w14:schemeClr w14:val="tx1"/>
            </w14:solidFill>
          </w14:textFill>
        </w:rPr>
        <w:t>：拔尖创新人才培养计划项目实施学院，每个学院</w:t>
      </w:r>
      <w:r>
        <w:rPr>
          <w:rFonts w:hint="eastAsia" w:ascii="仿宋" w:hAnsi="仿宋" w:eastAsia="仿宋" w:cs="仿宋"/>
          <w:color w:val="000000" w:themeColor="text1"/>
          <w:sz w:val="32"/>
          <w:szCs w:val="32"/>
          <w:lang w:val="en-US" w:eastAsia="zh-CN"/>
          <w14:textFill>
            <w14:solidFill>
              <w14:schemeClr w14:val="tx1"/>
            </w14:solidFill>
          </w14:textFill>
        </w:rPr>
        <w:t>每年</w:t>
      </w:r>
      <w:r>
        <w:rPr>
          <w:rFonts w:hint="eastAsia" w:ascii="仿宋" w:hAnsi="仿宋" w:eastAsia="仿宋" w:cs="仿宋"/>
          <w:b/>
          <w:bCs/>
          <w:color w:val="000000" w:themeColor="text1"/>
          <w:sz w:val="32"/>
          <w:szCs w:val="32"/>
          <w14:textFill>
            <w14:solidFill>
              <w14:schemeClr w14:val="tx1"/>
            </w14:solidFill>
          </w14:textFill>
        </w:rPr>
        <w:t>限报一项，鼓励2-3个学院联合申报</w:t>
      </w:r>
      <w:r>
        <w:rPr>
          <w:rFonts w:hint="eastAsia" w:ascii="仿宋" w:hAnsi="仿宋" w:eastAsia="仿宋" w:cs="仿宋"/>
          <w:color w:val="000000" w:themeColor="text1"/>
          <w:sz w:val="32"/>
          <w:szCs w:val="32"/>
          <w14:textFill>
            <w14:solidFill>
              <w14:schemeClr w14:val="tx1"/>
            </w14:solidFill>
          </w14:textFill>
        </w:rPr>
        <w:t>。</w:t>
      </w:r>
    </w:p>
    <w:p w14:paraId="23AB8F18">
      <w:pPr>
        <w:widowControl/>
        <w:spacing w:before="90" w:line="560" w:lineRule="exact"/>
        <w:ind w:firstLine="643" w:firstLineChars="200"/>
        <w:rPr>
          <w:rFonts w:hint="eastAsia" w:ascii="仿宋" w:hAnsi="仿宋" w:eastAsia="仿宋" w:cs="仿宋"/>
          <w:color w:val="000000" w:themeColor="text1"/>
          <w:sz w:val="32"/>
          <w:szCs w:val="32"/>
          <w14:textFill>
            <w14:solidFill>
              <w14:schemeClr w14:val="tx1"/>
            </w14:solidFill>
          </w14:textFill>
        </w:rPr>
      </w:pPr>
      <w:r>
        <w:rPr>
          <w:rStyle w:val="8"/>
          <w:rFonts w:hint="eastAsia" w:ascii="仿宋" w:hAnsi="仿宋" w:eastAsia="仿宋" w:cs="仿宋"/>
          <w:bCs/>
          <w:color w:val="000000" w:themeColor="text1"/>
          <w:sz w:val="32"/>
          <w:szCs w:val="32"/>
          <w14:textFill>
            <w14:solidFill>
              <w14:schemeClr w14:val="tx1"/>
            </w14:solidFill>
          </w14:textFill>
        </w:rPr>
        <w:t>组织对象</w:t>
      </w:r>
      <w:r>
        <w:rPr>
          <w:rFonts w:hint="eastAsia" w:ascii="仿宋" w:hAnsi="仿宋" w:eastAsia="仿宋" w:cs="仿宋"/>
          <w:color w:val="000000" w:themeColor="text1"/>
          <w:sz w:val="32"/>
          <w:szCs w:val="32"/>
          <w14:textFill>
            <w14:solidFill>
              <w14:schemeClr w14:val="tx1"/>
            </w14:solidFill>
          </w14:textFill>
        </w:rPr>
        <w:t>：入选拔尖创新人才培养项目的学生，以在本科阶段的同学为主。每个项目在10名学生以上规模。</w:t>
      </w:r>
    </w:p>
    <w:p w14:paraId="23A3847E">
      <w:pPr>
        <w:widowControl/>
        <w:numPr>
          <w:ilvl w:val="0"/>
          <w:numId w:val="9"/>
        </w:numPr>
        <w:spacing w:before="210" w:beforeAutospacing="0" w:after="120" w:afterAutospacing="0" w:line="560" w:lineRule="exact"/>
        <w:ind w:firstLine="640" w:firstLineChars="200"/>
        <w:rPr>
          <w:rFonts w:ascii="黑体" w:hAnsi="黑体" w:eastAsia="黑体" w:cs="黑体"/>
          <w:b w:val="0"/>
          <w:bCs w:val="0"/>
          <w:color w:val="000000" w:themeColor="text1"/>
          <w:sz w:val="32"/>
          <w:szCs w:val="32"/>
          <w14:textFill>
            <w14:solidFill>
              <w14:schemeClr w14:val="tx1"/>
            </w14:solidFill>
          </w14:textFill>
        </w:rPr>
      </w:pPr>
      <w:r>
        <w:rPr>
          <w:rFonts w:ascii="黑体" w:hAnsi="黑体" w:eastAsia="黑体" w:cs="黑体"/>
          <w:b w:val="0"/>
          <w:bCs w:val="0"/>
          <w:color w:val="000000" w:themeColor="text1"/>
          <w:sz w:val="32"/>
          <w:szCs w:val="32"/>
          <w14:textFill>
            <w14:solidFill>
              <w14:schemeClr w14:val="tx1"/>
            </w14:solidFill>
          </w14:textFill>
        </w:rPr>
        <w:t>申报内容与要求</w:t>
      </w:r>
    </w:p>
    <w:p w14:paraId="46B2BD01">
      <w:pPr>
        <w:widowControl/>
        <w:spacing w:line="560" w:lineRule="exact"/>
        <w:ind w:firstLine="643" w:firstLineChars="200"/>
        <w:rPr>
          <w:rFonts w:hint="eastAsia" w:ascii="仿宋" w:hAnsi="仿宋" w:eastAsia="仿宋" w:cs="仿宋"/>
          <w:color w:val="000000" w:themeColor="text1"/>
          <w:sz w:val="32"/>
          <w:szCs w:val="32"/>
          <w14:textFill>
            <w14:solidFill>
              <w14:schemeClr w14:val="tx1"/>
            </w14:solidFill>
          </w14:textFill>
        </w:rPr>
      </w:pPr>
      <w:r>
        <w:rPr>
          <w:rStyle w:val="8"/>
          <w:rFonts w:hint="eastAsia" w:ascii="仿宋" w:hAnsi="仿宋" w:eastAsia="仿宋" w:cs="仿宋"/>
          <w:bCs/>
          <w:color w:val="000000" w:themeColor="text1"/>
          <w:sz w:val="32"/>
          <w:szCs w:val="32"/>
          <w14:textFill>
            <w14:solidFill>
              <w14:schemeClr w14:val="tx1"/>
            </w14:solidFill>
          </w14:textFill>
        </w:rPr>
        <w:t>项目方案</w:t>
      </w:r>
      <w:r>
        <w:rPr>
          <w:rFonts w:hint="eastAsia" w:ascii="仿宋" w:hAnsi="仿宋" w:eastAsia="仿宋" w:cs="仿宋"/>
          <w:color w:val="000000" w:themeColor="text1"/>
          <w:sz w:val="32"/>
          <w:szCs w:val="32"/>
          <w14:textFill>
            <w14:solidFill>
              <w14:schemeClr w14:val="tx1"/>
            </w14:solidFill>
          </w14:textFill>
        </w:rPr>
        <w:t>：学院需结合学科特点，筹划具有创新性和实践价值的学术交流实践项目。项目应明确目标、内容、形式、时间、地点、经费预算、预期影响和成果、保障措施等关键要素。</w:t>
      </w:r>
    </w:p>
    <w:p w14:paraId="08BDB05D">
      <w:pPr>
        <w:widowControl/>
        <w:spacing w:before="90" w:line="560" w:lineRule="exact"/>
        <w:ind w:firstLine="643" w:firstLineChars="200"/>
        <w:rPr>
          <w:rFonts w:hint="eastAsia" w:ascii="仿宋" w:hAnsi="仿宋" w:eastAsia="仿宋" w:cs="仿宋"/>
          <w:color w:val="000000" w:themeColor="text1"/>
          <w:sz w:val="32"/>
          <w:szCs w:val="32"/>
          <w14:textFill>
            <w14:solidFill>
              <w14:schemeClr w14:val="tx1"/>
            </w14:solidFill>
          </w14:textFill>
        </w:rPr>
      </w:pPr>
      <w:r>
        <w:rPr>
          <w:rStyle w:val="8"/>
          <w:rFonts w:hint="eastAsia" w:ascii="仿宋" w:hAnsi="仿宋" w:eastAsia="仿宋" w:cs="仿宋"/>
          <w:bCs/>
          <w:color w:val="000000" w:themeColor="text1"/>
          <w:sz w:val="32"/>
          <w:szCs w:val="32"/>
          <w14:textFill>
            <w14:solidFill>
              <w14:schemeClr w14:val="tx1"/>
            </w14:solidFill>
          </w14:textFill>
        </w:rPr>
        <w:t>经费预算</w:t>
      </w:r>
      <w:r>
        <w:rPr>
          <w:rFonts w:hint="eastAsia" w:ascii="仿宋" w:hAnsi="仿宋" w:eastAsia="仿宋" w:cs="仿宋"/>
          <w:color w:val="000000" w:themeColor="text1"/>
          <w:sz w:val="32"/>
          <w:szCs w:val="32"/>
          <w14:textFill>
            <w14:solidFill>
              <w14:schemeClr w14:val="tx1"/>
            </w14:solidFill>
          </w14:textFill>
        </w:rPr>
        <w:t>：学院需提交详细的经费预算，包括交通费、住宿费、注册费、交流活动费等必要开支。预算应合理、透明，并符合学校财务管理规定。</w:t>
      </w:r>
    </w:p>
    <w:p w14:paraId="678C694A">
      <w:pPr>
        <w:widowControl/>
        <w:spacing w:before="90" w:line="560" w:lineRule="exact"/>
        <w:ind w:firstLine="643" w:firstLineChars="200"/>
        <w:rPr>
          <w:rFonts w:hint="eastAsia" w:ascii="仿宋" w:hAnsi="仿宋" w:eastAsia="仿宋" w:cs="仿宋"/>
          <w:color w:val="000000" w:themeColor="text1"/>
          <w:sz w:val="32"/>
          <w:szCs w:val="32"/>
          <w14:textFill>
            <w14:solidFill>
              <w14:schemeClr w14:val="tx1"/>
            </w14:solidFill>
          </w14:textFill>
        </w:rPr>
      </w:pPr>
      <w:r>
        <w:rPr>
          <w:rStyle w:val="8"/>
          <w:rFonts w:hint="eastAsia" w:ascii="仿宋" w:hAnsi="仿宋" w:eastAsia="仿宋" w:cs="仿宋"/>
          <w:bCs/>
          <w:color w:val="000000" w:themeColor="text1"/>
          <w:sz w:val="32"/>
          <w:szCs w:val="32"/>
          <w14:textFill>
            <w14:solidFill>
              <w14:schemeClr w14:val="tx1"/>
            </w14:solidFill>
          </w14:textFill>
        </w:rPr>
        <w:t>学院支持</w:t>
      </w:r>
      <w:r>
        <w:rPr>
          <w:rFonts w:hint="eastAsia" w:ascii="仿宋" w:hAnsi="仿宋" w:eastAsia="仿宋" w:cs="仿宋"/>
          <w:color w:val="000000" w:themeColor="text1"/>
          <w:sz w:val="32"/>
          <w:szCs w:val="32"/>
          <w14:textFill>
            <w14:solidFill>
              <w14:schemeClr w14:val="tx1"/>
            </w14:solidFill>
          </w14:textFill>
        </w:rPr>
        <w:t>：学院需承诺为项目提供必要的配套支持和保障，包括师资指导、资源调配、项目管理等。</w:t>
      </w:r>
    </w:p>
    <w:p w14:paraId="7E5CB6A7">
      <w:pPr>
        <w:widowControl/>
        <w:spacing w:before="90" w:line="560" w:lineRule="exact"/>
        <w:ind w:firstLine="643" w:firstLineChars="200"/>
        <w:rPr>
          <w:rFonts w:hint="eastAsia" w:ascii="仿宋" w:hAnsi="仿宋" w:eastAsia="仿宋" w:cs="仿宋"/>
          <w:color w:val="000000" w:themeColor="text1"/>
          <w:sz w:val="32"/>
          <w:szCs w:val="32"/>
          <w14:textFill>
            <w14:solidFill>
              <w14:schemeClr w14:val="tx1"/>
            </w14:solidFill>
          </w14:textFill>
        </w:rPr>
      </w:pPr>
      <w:r>
        <w:rPr>
          <w:rStyle w:val="8"/>
          <w:rFonts w:hint="eastAsia" w:ascii="仿宋" w:hAnsi="仿宋" w:eastAsia="仿宋" w:cs="仿宋"/>
          <w:bCs/>
          <w:color w:val="000000" w:themeColor="text1"/>
          <w:sz w:val="32"/>
          <w:szCs w:val="32"/>
          <w14:textFill>
            <w14:solidFill>
              <w14:schemeClr w14:val="tx1"/>
            </w14:solidFill>
          </w14:textFill>
        </w:rPr>
        <w:t>材料提交</w:t>
      </w:r>
      <w:r>
        <w:rPr>
          <w:rFonts w:hint="eastAsia" w:ascii="仿宋" w:hAnsi="仿宋" w:eastAsia="仿宋" w:cs="仿宋"/>
          <w:color w:val="000000" w:themeColor="text1"/>
          <w:sz w:val="32"/>
          <w:szCs w:val="32"/>
          <w14:textFill>
            <w14:solidFill>
              <w14:schemeClr w14:val="tx1"/>
            </w14:solidFill>
          </w14:textFill>
        </w:rPr>
        <w:t>：学院需将项目申报书（包括项目方案、经费预算等内容）及必要的支撑材料纸质版一份提交至研究生院，电子版发邮箱pyb@ecust.edu.cn。</w:t>
      </w:r>
    </w:p>
    <w:p w14:paraId="60FB0CFB">
      <w:pPr>
        <w:widowControl/>
        <w:spacing w:before="90" w:line="560" w:lineRule="exact"/>
        <w:ind w:firstLine="643" w:firstLineChars="200"/>
        <w:rPr>
          <w:rFonts w:hint="eastAsia" w:ascii="仿宋" w:hAnsi="仿宋" w:eastAsia="仿宋" w:cs="仿宋"/>
          <w:color w:val="000000" w:themeColor="text1"/>
          <w:sz w:val="32"/>
          <w:szCs w:val="32"/>
          <w:highlight w:val="none"/>
          <w14:textFill>
            <w14:solidFill>
              <w14:schemeClr w14:val="tx1"/>
            </w14:solidFill>
          </w14:textFill>
        </w:rPr>
      </w:pPr>
      <w:r>
        <w:rPr>
          <w:rStyle w:val="8"/>
          <w:rFonts w:hint="eastAsia" w:ascii="仿宋" w:hAnsi="仿宋" w:eastAsia="仿宋" w:cs="仿宋"/>
          <w:bCs/>
          <w:color w:val="000000" w:themeColor="text1"/>
          <w:sz w:val="32"/>
          <w:szCs w:val="32"/>
          <w14:textFill>
            <w14:solidFill>
              <w14:schemeClr w14:val="tx1"/>
            </w14:solidFill>
          </w14:textFill>
        </w:rPr>
        <w:t>评审立项</w:t>
      </w:r>
      <w:r>
        <w:rPr>
          <w:rFonts w:hint="eastAsia" w:ascii="仿宋" w:hAnsi="仿宋" w:eastAsia="仿宋" w:cs="仿宋"/>
          <w:color w:val="000000" w:themeColor="text1"/>
          <w:sz w:val="32"/>
          <w:szCs w:val="32"/>
          <w14:textFill>
            <w14:solidFill>
              <w14:schemeClr w14:val="tx1"/>
            </w14:solidFill>
          </w14:textFill>
        </w:rPr>
        <w:t>：研究生院将组织专家对申报项目进行评审，根据项目的创新性</w:t>
      </w:r>
      <w:r>
        <w:rPr>
          <w:rFonts w:hint="eastAsia" w:ascii="仿宋" w:hAnsi="仿宋" w:eastAsia="仿宋" w:cs="仿宋"/>
          <w:color w:val="000000" w:themeColor="text1"/>
          <w:sz w:val="32"/>
          <w:szCs w:val="32"/>
          <w:highlight w:val="none"/>
          <w14:textFill>
            <w14:solidFill>
              <w14:schemeClr w14:val="tx1"/>
            </w14:solidFill>
          </w14:textFill>
        </w:rPr>
        <w:t>、实践价值、经费预算合理性等因素进行综合考虑，确定立项项目。项目立项后带队老师可等同于一项研究生教改实践项目。</w:t>
      </w:r>
    </w:p>
    <w:p w14:paraId="595E268B">
      <w:pPr>
        <w:widowControl/>
        <w:numPr>
          <w:ilvl w:val="0"/>
          <w:numId w:val="9"/>
        </w:numPr>
        <w:spacing w:before="210" w:beforeAutospacing="0" w:after="120" w:afterAutospacing="0" w:line="560" w:lineRule="exact"/>
        <w:ind w:firstLine="640" w:firstLineChars="200"/>
        <w:rPr>
          <w:rFonts w:ascii="黑体" w:hAnsi="黑体" w:eastAsia="黑体" w:cs="黑体"/>
          <w:b w:val="0"/>
          <w:bCs w:val="0"/>
          <w:color w:val="000000" w:themeColor="text1"/>
          <w:sz w:val="32"/>
          <w:szCs w:val="32"/>
          <w:highlight w:val="none"/>
          <w14:textFill>
            <w14:solidFill>
              <w14:schemeClr w14:val="tx1"/>
            </w14:solidFill>
          </w14:textFill>
        </w:rPr>
      </w:pPr>
      <w:r>
        <w:rPr>
          <w:rFonts w:ascii="黑体" w:hAnsi="黑体" w:eastAsia="黑体" w:cs="黑体"/>
          <w:b w:val="0"/>
          <w:bCs w:val="0"/>
          <w:color w:val="000000" w:themeColor="text1"/>
          <w:sz w:val="32"/>
          <w:szCs w:val="32"/>
          <w:highlight w:val="none"/>
          <w14:textFill>
            <w14:solidFill>
              <w14:schemeClr w14:val="tx1"/>
            </w14:solidFill>
          </w14:textFill>
        </w:rPr>
        <w:t>经费资助与管理</w:t>
      </w:r>
    </w:p>
    <w:p w14:paraId="2429D487">
      <w:pPr>
        <w:widowControl/>
        <w:spacing w:line="560" w:lineRule="exact"/>
        <w:ind w:firstLine="643" w:firstLineChars="200"/>
        <w:rPr>
          <w:rFonts w:hint="eastAsia" w:ascii="仿宋" w:hAnsi="仿宋" w:eastAsia="仿宋" w:cs="仿宋"/>
          <w:color w:val="000000" w:themeColor="text1"/>
          <w:sz w:val="32"/>
          <w:szCs w:val="32"/>
          <w:highlight w:val="none"/>
          <w14:textFill>
            <w14:solidFill>
              <w14:schemeClr w14:val="tx1"/>
            </w14:solidFill>
          </w14:textFill>
        </w:rPr>
      </w:pPr>
      <w:r>
        <w:rPr>
          <w:rStyle w:val="8"/>
          <w:rFonts w:hint="eastAsia" w:ascii="仿宋" w:hAnsi="仿宋" w:eastAsia="仿宋" w:cs="仿宋"/>
          <w:bCs/>
          <w:color w:val="000000" w:themeColor="text1"/>
          <w:sz w:val="32"/>
          <w:szCs w:val="32"/>
          <w:highlight w:val="none"/>
          <w14:textFill>
            <w14:solidFill>
              <w14:schemeClr w14:val="tx1"/>
            </w14:solidFill>
          </w14:textFill>
        </w:rPr>
        <w:t>资助标准</w:t>
      </w:r>
      <w:r>
        <w:rPr>
          <w:rFonts w:hint="eastAsia" w:ascii="仿宋" w:hAnsi="仿宋" w:eastAsia="仿宋" w:cs="仿宋"/>
          <w:color w:val="000000" w:themeColor="text1"/>
          <w:sz w:val="32"/>
          <w:szCs w:val="32"/>
          <w:highlight w:val="none"/>
          <w14:textFill>
            <w14:solidFill>
              <w14:schemeClr w14:val="tx1"/>
            </w14:solidFill>
          </w14:textFill>
        </w:rPr>
        <w:t>：研究生院将根据项目的实际情况和预算申请，按照一定的标准给予经费资助，学院须有适当的配套资助。学校资助金额上限按区域进行划分：欧美地区2万元/人；亚太地区1万元/人；其他地区1.5万元/人；</w:t>
      </w:r>
      <w:r>
        <w:rPr>
          <w:rFonts w:hint="eastAsia" w:ascii="仿宋" w:hAnsi="仿宋" w:eastAsia="仿宋" w:cs="仿宋"/>
          <w:color w:val="000000" w:themeColor="text1"/>
          <w:sz w:val="32"/>
          <w:szCs w:val="32"/>
          <w:highlight w:val="none"/>
          <w:lang w:val="en-US" w:eastAsia="zh-CN"/>
          <w14:textFill>
            <w14:solidFill>
              <w14:schemeClr w14:val="tx1"/>
            </w14:solidFill>
          </w14:textFill>
        </w:rPr>
        <w:t>港澳台地区1万元/人；</w:t>
      </w:r>
      <w:r>
        <w:rPr>
          <w:rFonts w:hint="eastAsia" w:ascii="仿宋" w:hAnsi="仿宋" w:eastAsia="仿宋" w:cs="仿宋"/>
          <w:color w:val="000000" w:themeColor="text1"/>
          <w:sz w:val="32"/>
          <w:szCs w:val="32"/>
          <w:highlight w:val="none"/>
          <w14:textFill>
            <w14:solidFill>
              <w14:schemeClr w14:val="tx1"/>
            </w14:solidFill>
          </w14:textFill>
        </w:rPr>
        <w:t>国内</w:t>
      </w:r>
      <w:r>
        <w:rPr>
          <w:rFonts w:hint="eastAsia" w:ascii="仿宋" w:hAnsi="仿宋" w:eastAsia="仿宋" w:cs="仿宋"/>
          <w:color w:val="000000" w:themeColor="text1"/>
          <w:sz w:val="32"/>
          <w:szCs w:val="32"/>
          <w:highlight w:val="none"/>
          <w:lang w:val="en-US" w:eastAsia="zh-CN"/>
          <w14:textFill>
            <w14:solidFill>
              <w14:schemeClr w14:val="tx1"/>
            </w14:solidFill>
          </w14:textFill>
        </w:rPr>
        <w:t>其他地区</w:t>
      </w:r>
      <w:r>
        <w:rPr>
          <w:rFonts w:hint="eastAsia" w:ascii="仿宋" w:hAnsi="仿宋" w:eastAsia="仿宋" w:cs="仿宋"/>
          <w:color w:val="000000" w:themeColor="text1"/>
          <w:sz w:val="32"/>
          <w:szCs w:val="32"/>
          <w:highlight w:val="none"/>
          <w14:textFill>
            <w14:solidFill>
              <w14:schemeClr w14:val="tx1"/>
            </w14:solidFill>
          </w14:textFill>
        </w:rPr>
        <w:t>0.5万元/人。学院应支持带队老师的相关费用，提供行前教育等各种保障服务。</w:t>
      </w:r>
    </w:p>
    <w:p w14:paraId="48418F09">
      <w:pPr>
        <w:widowControl/>
        <w:spacing w:before="90" w:line="560" w:lineRule="exact"/>
        <w:ind w:firstLine="643" w:firstLineChars="200"/>
        <w:rPr>
          <w:rFonts w:hint="eastAsia" w:ascii="仿宋" w:hAnsi="仿宋" w:eastAsia="仿宋" w:cs="仿宋"/>
          <w:color w:val="000000" w:themeColor="text1"/>
          <w:sz w:val="32"/>
          <w:szCs w:val="32"/>
          <w14:textFill>
            <w14:solidFill>
              <w14:schemeClr w14:val="tx1"/>
            </w14:solidFill>
          </w14:textFill>
        </w:rPr>
      </w:pPr>
      <w:r>
        <w:rPr>
          <w:rStyle w:val="8"/>
          <w:rFonts w:hint="eastAsia" w:ascii="仿宋" w:hAnsi="仿宋" w:eastAsia="仿宋" w:cs="仿宋"/>
          <w:bCs/>
          <w:color w:val="000000" w:themeColor="text1"/>
          <w:sz w:val="32"/>
          <w:szCs w:val="32"/>
          <w14:textFill>
            <w14:solidFill>
              <w14:schemeClr w14:val="tx1"/>
            </w14:solidFill>
          </w14:textFill>
        </w:rPr>
        <w:t>经费报销</w:t>
      </w:r>
      <w:r>
        <w:rPr>
          <w:rFonts w:hint="eastAsia" w:ascii="仿宋" w:hAnsi="仿宋" w:eastAsia="仿宋" w:cs="仿宋"/>
          <w:color w:val="000000" w:themeColor="text1"/>
          <w:sz w:val="32"/>
          <w:szCs w:val="32"/>
          <w14:textFill>
            <w14:solidFill>
              <w14:schemeClr w14:val="tx1"/>
            </w14:solidFill>
          </w14:textFill>
        </w:rPr>
        <w:t>：立项学院需遵循学校财务管理规定，合理、合规使用资助经费。项目结束后，立项学院需向研究生院提交经费使用报告和报销材料。研究生院将对报销材料进行审核，并根据审核结果办理经费报销手续。</w:t>
      </w:r>
    </w:p>
    <w:p w14:paraId="79076F24">
      <w:pPr>
        <w:widowControl/>
        <w:numPr>
          <w:ilvl w:val="0"/>
          <w:numId w:val="9"/>
        </w:numPr>
        <w:spacing w:before="210" w:beforeAutospacing="0" w:after="120" w:afterAutospacing="0" w:line="560" w:lineRule="exact"/>
        <w:ind w:firstLine="640" w:firstLineChars="200"/>
        <w:rPr>
          <w:rFonts w:ascii="黑体" w:hAnsi="黑体" w:eastAsia="黑体" w:cs="黑体"/>
          <w:b w:val="0"/>
          <w:bCs w:val="0"/>
          <w:color w:val="000000" w:themeColor="text1"/>
          <w:sz w:val="32"/>
          <w:szCs w:val="32"/>
          <w14:textFill>
            <w14:solidFill>
              <w14:schemeClr w14:val="tx1"/>
            </w14:solidFill>
          </w14:textFill>
        </w:rPr>
      </w:pPr>
      <w:r>
        <w:rPr>
          <w:rFonts w:ascii="黑体" w:hAnsi="黑体" w:eastAsia="黑体" w:cs="黑体"/>
          <w:b w:val="0"/>
          <w:bCs w:val="0"/>
          <w:color w:val="000000" w:themeColor="text1"/>
          <w:sz w:val="32"/>
          <w:szCs w:val="32"/>
          <w14:textFill>
            <w14:solidFill>
              <w14:schemeClr w14:val="tx1"/>
            </w14:solidFill>
          </w14:textFill>
        </w:rPr>
        <w:t>项目实施与管理</w:t>
      </w:r>
    </w:p>
    <w:p w14:paraId="10FD4DE6">
      <w:pPr>
        <w:widowControl/>
        <w:spacing w:before="90" w:line="560" w:lineRule="exact"/>
        <w:ind w:left="0" w:firstLine="643" w:firstLineChars="200"/>
        <w:rPr>
          <w:rStyle w:val="8"/>
          <w:rFonts w:hint="eastAsia" w:ascii="仿宋" w:hAnsi="仿宋" w:eastAsia="仿宋" w:cs="仿宋"/>
          <w:b w:val="0"/>
          <w:color w:val="000000" w:themeColor="text1"/>
          <w:sz w:val="32"/>
          <w:szCs w:val="32"/>
          <w14:textFill>
            <w14:solidFill>
              <w14:schemeClr w14:val="tx1"/>
            </w14:solidFill>
          </w14:textFill>
        </w:rPr>
      </w:pPr>
      <w:r>
        <w:rPr>
          <w:rStyle w:val="8"/>
          <w:rFonts w:hint="eastAsia" w:ascii="仿宋" w:hAnsi="仿宋" w:eastAsia="仿宋" w:cs="仿宋"/>
          <w:bCs/>
          <w:color w:val="000000" w:themeColor="text1"/>
          <w:sz w:val="32"/>
          <w:szCs w:val="32"/>
          <w14:textFill>
            <w14:solidFill>
              <w14:schemeClr w14:val="tx1"/>
            </w14:solidFill>
          </w14:textFill>
        </w:rPr>
        <w:t>项目实施：</w:t>
      </w:r>
      <w:r>
        <w:rPr>
          <w:rStyle w:val="8"/>
          <w:rFonts w:hint="eastAsia" w:ascii="仿宋" w:hAnsi="仿宋" w:eastAsia="仿宋" w:cs="仿宋"/>
          <w:b w:val="0"/>
          <w:color w:val="000000" w:themeColor="text1"/>
          <w:sz w:val="32"/>
          <w:szCs w:val="32"/>
          <w14:textFill>
            <w14:solidFill>
              <w14:schemeClr w14:val="tx1"/>
            </w14:solidFill>
          </w14:textFill>
        </w:rPr>
        <w:t>立项项目需严格按照申报表中的计划进行实施，确保项目目标的实现。项目实施过程中，各学院需加强监督与管理，确保项目经费的合理使用和项目的顺利进行。</w:t>
      </w:r>
    </w:p>
    <w:p w14:paraId="27371BA7">
      <w:pPr>
        <w:widowControl/>
        <w:spacing w:before="90" w:line="560" w:lineRule="exact"/>
        <w:ind w:left="0" w:firstLine="643" w:firstLineChars="200"/>
        <w:rPr>
          <w:rStyle w:val="8"/>
          <w:rFonts w:hint="eastAsia" w:ascii="仿宋" w:hAnsi="仿宋" w:eastAsia="仿宋" w:cs="仿宋"/>
          <w:b w:val="0"/>
          <w:color w:val="000000" w:themeColor="text1"/>
          <w:sz w:val="32"/>
          <w:szCs w:val="32"/>
          <w14:textFill>
            <w14:solidFill>
              <w14:schemeClr w14:val="tx1"/>
            </w14:solidFill>
          </w14:textFill>
        </w:rPr>
      </w:pPr>
      <w:r>
        <w:rPr>
          <w:rStyle w:val="8"/>
          <w:rFonts w:hint="eastAsia" w:ascii="仿宋" w:hAnsi="仿宋" w:eastAsia="仿宋" w:cs="仿宋"/>
          <w:bCs/>
          <w:color w:val="000000" w:themeColor="text1"/>
          <w:sz w:val="32"/>
          <w:szCs w:val="32"/>
          <w14:textFill>
            <w14:solidFill>
              <w14:schemeClr w14:val="tx1"/>
            </w14:solidFill>
          </w14:textFill>
        </w:rPr>
        <w:t>项目变更：</w:t>
      </w:r>
      <w:r>
        <w:rPr>
          <w:rStyle w:val="8"/>
          <w:rFonts w:hint="eastAsia" w:ascii="仿宋" w:hAnsi="仿宋" w:eastAsia="仿宋" w:cs="仿宋"/>
          <w:b w:val="0"/>
          <w:color w:val="000000" w:themeColor="text1"/>
          <w:sz w:val="32"/>
          <w:szCs w:val="32"/>
          <w14:textFill>
            <w14:solidFill>
              <w14:schemeClr w14:val="tx1"/>
            </w14:solidFill>
          </w14:textFill>
        </w:rPr>
        <w:t>在项目实施过程中，若因特殊原因需要变更项目内容或预算，立项学院需及时向研究生院提交变更申请，并说明变更原因和变更内容。变更申请需经过研究生院审核批准后方可生效。若因特殊情况需要延期实施项目，立项学院需提前向研究生院提交延期申请，并说明延期原因和延期时间。延期申请需经过研究生院审核批准后方可生效。</w:t>
      </w:r>
    </w:p>
    <w:p w14:paraId="745EFBB5">
      <w:pPr>
        <w:widowControl/>
        <w:spacing w:before="90" w:line="560" w:lineRule="exact"/>
        <w:ind w:left="0" w:firstLine="643" w:firstLineChars="200"/>
        <w:rPr>
          <w:rStyle w:val="8"/>
          <w:rFonts w:hint="eastAsia" w:ascii="仿宋" w:hAnsi="仿宋" w:eastAsia="仿宋" w:cs="仿宋"/>
          <w:b w:val="0"/>
          <w:color w:val="000000" w:themeColor="text1"/>
          <w:sz w:val="32"/>
          <w:szCs w:val="32"/>
          <w14:textFill>
            <w14:solidFill>
              <w14:schemeClr w14:val="tx1"/>
            </w14:solidFill>
          </w14:textFill>
        </w:rPr>
      </w:pPr>
      <w:r>
        <w:rPr>
          <w:rStyle w:val="8"/>
          <w:rFonts w:hint="eastAsia" w:ascii="仿宋" w:hAnsi="仿宋" w:eastAsia="仿宋" w:cs="仿宋"/>
          <w:bCs/>
          <w:color w:val="000000" w:themeColor="text1"/>
          <w:sz w:val="32"/>
          <w:szCs w:val="32"/>
          <w14:textFill>
            <w14:solidFill>
              <w14:schemeClr w14:val="tx1"/>
            </w14:solidFill>
          </w14:textFill>
        </w:rPr>
        <w:t>项目结项与验收：</w:t>
      </w:r>
      <w:r>
        <w:rPr>
          <w:rStyle w:val="8"/>
          <w:rFonts w:hint="eastAsia" w:ascii="仿宋" w:hAnsi="仿宋" w:eastAsia="仿宋" w:cs="仿宋"/>
          <w:b w:val="0"/>
          <w:color w:val="000000" w:themeColor="text1"/>
          <w:sz w:val="32"/>
          <w:szCs w:val="32"/>
          <w14:textFill>
            <w14:solidFill>
              <w14:schemeClr w14:val="tx1"/>
            </w14:solidFill>
          </w14:textFill>
        </w:rPr>
        <w:t>项目完成后，各学院需提交结题报告和成果展示材料，研究生院将组织专家进行验收。验收合格的项目将予以结项。</w:t>
      </w:r>
    </w:p>
    <w:p w14:paraId="0FC917ED">
      <w:pPr>
        <w:widowControl/>
        <w:numPr>
          <w:ilvl w:val="0"/>
          <w:numId w:val="9"/>
        </w:numPr>
        <w:spacing w:before="210" w:beforeAutospacing="0" w:after="120" w:afterAutospacing="0" w:line="560" w:lineRule="exact"/>
        <w:ind w:firstLine="640" w:firstLineChars="200"/>
        <w:rPr>
          <w:rFonts w:ascii="黑体" w:hAnsi="黑体" w:eastAsia="黑体" w:cs="黑体"/>
          <w:b w:val="0"/>
          <w:bCs w:val="0"/>
          <w:color w:val="000000" w:themeColor="text1"/>
          <w:sz w:val="32"/>
          <w:szCs w:val="32"/>
          <w:highlight w:val="none"/>
          <w14:textFill>
            <w14:solidFill>
              <w14:schemeClr w14:val="tx1"/>
            </w14:solidFill>
          </w14:textFill>
        </w:rPr>
      </w:pPr>
      <w:r>
        <w:rPr>
          <w:rFonts w:ascii="黑体" w:hAnsi="黑体" w:eastAsia="黑体" w:cs="黑体"/>
          <w:b w:val="0"/>
          <w:bCs w:val="0"/>
          <w:color w:val="000000" w:themeColor="text1"/>
          <w:sz w:val="32"/>
          <w:szCs w:val="32"/>
          <w:highlight w:val="none"/>
          <w14:textFill>
            <w14:solidFill>
              <w14:schemeClr w14:val="tx1"/>
            </w14:solidFill>
          </w14:textFill>
        </w:rPr>
        <w:t>其他事项</w:t>
      </w:r>
    </w:p>
    <w:p w14:paraId="08F9BF1D">
      <w:pPr>
        <w:pStyle w:val="2"/>
        <w:widowControl/>
        <w:spacing w:before="210" w:beforeAutospacing="0" w:after="120" w:afterAutospacing="0" w:line="560" w:lineRule="exact"/>
        <w:ind w:firstLine="640" w:firstLineChars="200"/>
        <w:rPr>
          <w:rFonts w:ascii="仿宋" w:hAnsi="仿宋" w:eastAsia="仿宋" w:cs="仿宋"/>
          <w:b w:val="0"/>
          <w:bCs w:val="0"/>
          <w:color w:val="000000" w:themeColor="text1"/>
          <w:sz w:val="32"/>
          <w:szCs w:val="32"/>
          <w:highlight w:val="none"/>
          <w14:textFill>
            <w14:solidFill>
              <w14:schemeClr w14:val="tx1"/>
            </w14:solidFill>
          </w14:textFill>
        </w:rPr>
      </w:pPr>
      <w:r>
        <w:rPr>
          <w:rFonts w:ascii="仿宋" w:hAnsi="仿宋" w:eastAsia="仿宋" w:cs="仿宋"/>
          <w:b w:val="0"/>
          <w:bCs w:val="0"/>
          <w:color w:val="000000" w:themeColor="text1"/>
          <w:sz w:val="32"/>
          <w:szCs w:val="32"/>
          <w:highlight w:val="none"/>
          <w14:textFill>
            <w14:solidFill>
              <w14:schemeClr w14:val="tx1"/>
            </w14:solidFill>
          </w14:textFill>
        </w:rPr>
        <w:t>申报截止日期：2024年12月</w:t>
      </w: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20</w:t>
      </w:r>
      <w:r>
        <w:rPr>
          <w:rFonts w:ascii="仿宋" w:hAnsi="仿宋" w:eastAsia="仿宋" w:cs="仿宋"/>
          <w:b w:val="0"/>
          <w:bCs w:val="0"/>
          <w:color w:val="000000" w:themeColor="text1"/>
          <w:sz w:val="32"/>
          <w:szCs w:val="32"/>
          <w:highlight w:val="none"/>
          <w14:textFill>
            <w14:solidFill>
              <w14:schemeClr w14:val="tx1"/>
            </w14:solidFill>
          </w14:textFill>
        </w:rPr>
        <w:t>日</w:t>
      </w:r>
    </w:p>
    <w:p w14:paraId="08EC3DC9">
      <w:pPr>
        <w:pStyle w:val="5"/>
        <w:widowControl/>
        <w:spacing w:beforeAutospacing="0" w:afterAutospacing="0"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联系人：邹娜娜   联系电话：64</w:t>
      </w:r>
      <w:bookmarkStart w:id="0" w:name="_GoBack"/>
      <w:r>
        <w:rPr>
          <w:rFonts w:hint="eastAsia" w:ascii="仿宋" w:hAnsi="仿宋" w:eastAsia="仿宋" w:cs="仿宋"/>
          <w:color w:val="000000" w:themeColor="text1"/>
          <w:sz w:val="32"/>
          <w:szCs w:val="32"/>
          <w14:textFill>
            <w14:solidFill>
              <w14:schemeClr w14:val="tx1"/>
            </w14:solidFill>
          </w14:textFill>
        </w:rPr>
        <w:t>2</w:t>
      </w:r>
      <w:bookmarkEnd w:id="0"/>
      <w:r>
        <w:rPr>
          <w:rFonts w:hint="eastAsia" w:ascii="仿宋" w:hAnsi="仿宋" w:eastAsia="仿宋" w:cs="仿宋"/>
          <w:color w:val="000000" w:themeColor="text1"/>
          <w:sz w:val="32"/>
          <w:szCs w:val="32"/>
          <w14:textFill>
            <w14:solidFill>
              <w14:schemeClr w14:val="tx1"/>
            </w14:solidFill>
          </w14:textFill>
        </w:rPr>
        <w:t>52415</w:t>
      </w:r>
    </w:p>
    <w:p w14:paraId="38E3816C">
      <w:pPr>
        <w:pStyle w:val="5"/>
        <w:widowControl/>
        <w:spacing w:before="210" w:beforeAutospacing="0" w:afterAutospacing="0"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请各学院高度重视，积极组织拔尖创新人才培养项目学生参加国内外学术交流实践项目的申报工作。通过项目的实施，不仅可以提升学生的科研能力和国际竞争力，还可以促进学校与国内外学术界的交流与合作，为学校的“双一流”建设贡献力量。</w:t>
      </w:r>
    </w:p>
    <w:p w14:paraId="6DB01910">
      <w:pPr>
        <w:pStyle w:val="5"/>
        <w:widowControl/>
        <w:spacing w:before="210" w:beforeAutospacing="0" w:afterAutospacing="0" w:line="560" w:lineRule="exact"/>
        <w:jc w:val="right"/>
        <w:rPr>
          <w:rFonts w:hint="eastAsia" w:ascii="仿宋" w:hAnsi="仿宋" w:eastAsia="仿宋" w:cs="仿宋"/>
          <w:color w:val="000000" w:themeColor="text1"/>
          <w:sz w:val="32"/>
          <w:szCs w:val="32"/>
          <w14:textFill>
            <w14:solidFill>
              <w14:schemeClr w14:val="tx1"/>
            </w14:solidFill>
          </w14:textFill>
        </w:rPr>
      </w:pPr>
      <w:r>
        <w:rPr>
          <w:rStyle w:val="8"/>
          <w:rFonts w:hint="eastAsia" w:ascii="仿宋" w:hAnsi="仿宋" w:eastAsia="仿宋" w:cs="仿宋"/>
          <w:bCs/>
          <w:color w:val="000000" w:themeColor="text1"/>
          <w:sz w:val="32"/>
          <w:szCs w:val="32"/>
          <w14:textFill>
            <w14:solidFill>
              <w14:schemeClr w14:val="tx1"/>
            </w14:solidFill>
          </w14:textFill>
        </w:rPr>
        <w:t>研究生院</w:t>
      </w:r>
    </w:p>
    <w:p w14:paraId="1713D5B9">
      <w:pPr>
        <w:pStyle w:val="5"/>
        <w:widowControl/>
        <w:spacing w:before="210" w:line="560" w:lineRule="exact"/>
        <w:jc w:val="right"/>
        <w:rPr>
          <w:rFonts w:hint="default" w:ascii="仿宋" w:hAnsi="仿宋" w:eastAsia="仿宋" w:cs="仿宋"/>
          <w:sz w:val="32"/>
          <w:szCs w:val="32"/>
          <w:lang w:val="en-US" w:eastAsia="zh-CN"/>
        </w:rPr>
      </w:pPr>
      <w:r>
        <w:rPr>
          <w:rStyle w:val="8"/>
          <w:rFonts w:hint="eastAsia" w:ascii="仿宋" w:hAnsi="仿宋" w:eastAsia="仿宋" w:cs="仿宋"/>
          <w:bCs/>
          <w:color w:val="000000" w:themeColor="text1"/>
          <w:sz w:val="32"/>
          <w:szCs w:val="32"/>
          <w14:textFill>
            <w14:solidFill>
              <w14:schemeClr w14:val="tx1"/>
            </w14:solidFill>
          </w14:textFill>
        </w:rPr>
        <w:t>2024年11月</w:t>
      </w:r>
      <w:r>
        <w:rPr>
          <w:rStyle w:val="8"/>
          <w:rFonts w:hint="eastAsia" w:ascii="仿宋" w:hAnsi="仿宋" w:eastAsia="仿宋" w:cs="仿宋"/>
          <w:bCs/>
          <w:color w:val="000000" w:themeColor="text1"/>
          <w:sz w:val="32"/>
          <w:szCs w:val="32"/>
          <w:lang w:val="en-US" w:eastAsia="zh-CN"/>
          <w14:textFill>
            <w14:solidFill>
              <w14:schemeClr w14:val="tx1"/>
            </w14:solidFill>
          </w14:textFill>
        </w:rPr>
        <w:t>25</w:t>
      </w:r>
      <w:r>
        <w:rPr>
          <w:rStyle w:val="8"/>
          <w:rFonts w:hint="eastAsia" w:ascii="仿宋" w:hAnsi="仿宋" w:eastAsia="仿宋" w:cs="仿宋"/>
          <w:bCs/>
          <w:color w:val="000000" w:themeColor="text1"/>
          <w:sz w:val="32"/>
          <w:szCs w:val="32"/>
          <w14:textFill>
            <w14:solidFill>
              <w14:schemeClr w14:val="tx1"/>
            </w14:solidFill>
          </w14:textFill>
        </w:rPr>
        <w:t>日</w:t>
      </w:r>
    </w:p>
    <w:sectPr>
      <w:pgSz w:w="11906" w:h="16838"/>
      <w:pgMar w:top="1417"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3901A5"/>
    <w:multiLevelType w:val="singleLevel"/>
    <w:tmpl w:val="B13901A5"/>
    <w:lvl w:ilvl="0" w:tentative="0">
      <w:start w:val="1"/>
      <w:numFmt w:val="chineseCounting"/>
      <w:suff w:val="nothing"/>
      <w:lvlText w:val="%1、"/>
      <w:lvlJc w:val="left"/>
      <w:rPr>
        <w:rFonts w:hint="eastAsia"/>
      </w:rPr>
    </w:lvl>
  </w:abstractNum>
  <w:abstractNum w:abstractNumId="1">
    <w:nsid w:val="C24E8428"/>
    <w:multiLevelType w:val="singleLevel"/>
    <w:tmpl w:val="C24E8428"/>
    <w:lvl w:ilvl="0" w:tentative="0">
      <w:start w:val="1"/>
      <w:numFmt w:val="decimal"/>
      <w:suff w:val="nothing"/>
      <w:lvlText w:val="%1．"/>
      <w:lvlJc w:val="left"/>
      <w:pPr>
        <w:ind w:left="0" w:firstLine="400"/>
      </w:pPr>
      <w:rPr>
        <w:rFonts w:hint="default"/>
      </w:rPr>
    </w:lvl>
  </w:abstractNum>
  <w:abstractNum w:abstractNumId="2">
    <w:nsid w:val="CC72C44B"/>
    <w:multiLevelType w:val="singleLevel"/>
    <w:tmpl w:val="CC72C44B"/>
    <w:lvl w:ilvl="0" w:tentative="0">
      <w:start w:val="1"/>
      <w:numFmt w:val="chineseCounting"/>
      <w:suff w:val="nothing"/>
      <w:lvlText w:val="%1、"/>
      <w:lvlJc w:val="left"/>
      <w:rPr>
        <w:rFonts w:hint="eastAsia"/>
      </w:rPr>
    </w:lvl>
  </w:abstractNum>
  <w:abstractNum w:abstractNumId="3">
    <w:nsid w:val="D36874A9"/>
    <w:multiLevelType w:val="singleLevel"/>
    <w:tmpl w:val="D36874A9"/>
    <w:lvl w:ilvl="0" w:tentative="0">
      <w:start w:val="1"/>
      <w:numFmt w:val="chineseCounting"/>
      <w:suff w:val="nothing"/>
      <w:lvlText w:val="%1、"/>
      <w:lvlJc w:val="left"/>
      <w:rPr>
        <w:rFonts w:hint="eastAsia"/>
      </w:rPr>
    </w:lvl>
  </w:abstractNum>
  <w:abstractNum w:abstractNumId="4">
    <w:nsid w:val="EB464C8C"/>
    <w:multiLevelType w:val="singleLevel"/>
    <w:tmpl w:val="EB464C8C"/>
    <w:lvl w:ilvl="0" w:tentative="0">
      <w:start w:val="1"/>
      <w:numFmt w:val="bullet"/>
      <w:lvlText w:val=""/>
      <w:lvlJc w:val="left"/>
      <w:pPr>
        <w:ind w:left="420" w:hanging="420"/>
      </w:pPr>
      <w:rPr>
        <w:rFonts w:hint="default" w:ascii="Wingdings" w:hAnsi="Wingdings"/>
      </w:rPr>
    </w:lvl>
  </w:abstractNum>
  <w:abstractNum w:abstractNumId="5">
    <w:nsid w:val="F4A1245A"/>
    <w:multiLevelType w:val="singleLevel"/>
    <w:tmpl w:val="F4A1245A"/>
    <w:lvl w:ilvl="0" w:tentative="0">
      <w:start w:val="1"/>
      <w:numFmt w:val="bullet"/>
      <w:lvlText w:val=""/>
      <w:lvlJc w:val="left"/>
      <w:pPr>
        <w:ind w:left="420" w:hanging="420"/>
      </w:pPr>
      <w:rPr>
        <w:rFonts w:hint="default" w:ascii="Wingdings" w:hAnsi="Wingdings"/>
      </w:rPr>
    </w:lvl>
  </w:abstractNum>
  <w:abstractNum w:abstractNumId="6">
    <w:nsid w:val="F759FD22"/>
    <w:multiLevelType w:val="singleLevel"/>
    <w:tmpl w:val="F759FD22"/>
    <w:lvl w:ilvl="0" w:tentative="0">
      <w:start w:val="1"/>
      <w:numFmt w:val="decimal"/>
      <w:suff w:val="nothing"/>
      <w:lvlText w:val="%1．"/>
      <w:lvlJc w:val="left"/>
      <w:pPr>
        <w:ind w:left="0" w:firstLine="400"/>
      </w:pPr>
      <w:rPr>
        <w:rFonts w:hint="default"/>
      </w:rPr>
    </w:lvl>
  </w:abstractNum>
  <w:abstractNum w:abstractNumId="7">
    <w:nsid w:val="16F6BBE6"/>
    <w:multiLevelType w:val="singleLevel"/>
    <w:tmpl w:val="16F6BBE6"/>
    <w:lvl w:ilvl="0" w:tentative="0">
      <w:start w:val="1"/>
      <w:numFmt w:val="decimal"/>
      <w:suff w:val="nothing"/>
      <w:lvlText w:val="%1．"/>
      <w:lvlJc w:val="left"/>
      <w:pPr>
        <w:ind w:left="0" w:firstLine="400"/>
      </w:pPr>
      <w:rPr>
        <w:rFonts w:hint="default"/>
      </w:rPr>
    </w:lvl>
  </w:abstractNum>
  <w:abstractNum w:abstractNumId="8">
    <w:nsid w:val="729B76DF"/>
    <w:multiLevelType w:val="singleLevel"/>
    <w:tmpl w:val="729B76DF"/>
    <w:lvl w:ilvl="0" w:tentative="0">
      <w:start w:val="1"/>
      <w:numFmt w:val="bullet"/>
      <w:lvlText w:val=""/>
      <w:lvlJc w:val="left"/>
      <w:pPr>
        <w:ind w:left="420" w:hanging="420"/>
      </w:pPr>
      <w:rPr>
        <w:rFonts w:hint="default" w:ascii="Wingdings" w:hAnsi="Wingdings"/>
      </w:rPr>
    </w:lvl>
  </w:abstractNum>
  <w:num w:numId="1">
    <w:abstractNumId w:val="4"/>
  </w:num>
  <w:num w:numId="2">
    <w:abstractNumId w:val="6"/>
  </w:num>
  <w:num w:numId="3">
    <w:abstractNumId w:val="5"/>
  </w:num>
  <w:num w:numId="4">
    <w:abstractNumId w:val="7"/>
  </w:num>
  <w:num w:numId="5">
    <w:abstractNumId w:val="8"/>
  </w:num>
  <w:num w:numId="6">
    <w:abstractNumId w:val="1"/>
  </w:num>
  <w:num w:numId="7">
    <w:abstractNumId w:val="0"/>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yZGMyNWJhOWFhYzVmNDc0OGI2ZjU3ZWMwMjY1MzIifQ=="/>
  </w:docVars>
  <w:rsids>
    <w:rsidRoot w:val="00521E00"/>
    <w:rsid w:val="00521E00"/>
    <w:rsid w:val="00807ACD"/>
    <w:rsid w:val="008B5FCB"/>
    <w:rsid w:val="00A32420"/>
    <w:rsid w:val="00B9158F"/>
    <w:rsid w:val="00D10AB8"/>
    <w:rsid w:val="00D127C9"/>
    <w:rsid w:val="00F02F86"/>
    <w:rsid w:val="00FD246D"/>
    <w:rsid w:val="06EE5FD5"/>
    <w:rsid w:val="06FA55B6"/>
    <w:rsid w:val="08D03148"/>
    <w:rsid w:val="09C86942"/>
    <w:rsid w:val="0AF40CF4"/>
    <w:rsid w:val="0CF40255"/>
    <w:rsid w:val="0E1A7E6C"/>
    <w:rsid w:val="127E53C9"/>
    <w:rsid w:val="17A05123"/>
    <w:rsid w:val="1A501008"/>
    <w:rsid w:val="1AD0039B"/>
    <w:rsid w:val="200F794B"/>
    <w:rsid w:val="22ED0263"/>
    <w:rsid w:val="235D02F2"/>
    <w:rsid w:val="26B9456E"/>
    <w:rsid w:val="28540057"/>
    <w:rsid w:val="2B137950"/>
    <w:rsid w:val="2FD7445B"/>
    <w:rsid w:val="2FF62612"/>
    <w:rsid w:val="309F63EE"/>
    <w:rsid w:val="333711E3"/>
    <w:rsid w:val="335A4EC3"/>
    <w:rsid w:val="37C91822"/>
    <w:rsid w:val="3C5F6A31"/>
    <w:rsid w:val="3F4374C9"/>
    <w:rsid w:val="441A1CBE"/>
    <w:rsid w:val="45E32481"/>
    <w:rsid w:val="494E04D4"/>
    <w:rsid w:val="49C92662"/>
    <w:rsid w:val="4B180B71"/>
    <w:rsid w:val="4E451F2B"/>
    <w:rsid w:val="4E4E209C"/>
    <w:rsid w:val="4E4E3F62"/>
    <w:rsid w:val="4EFE4C67"/>
    <w:rsid w:val="5144296E"/>
    <w:rsid w:val="54A726B3"/>
    <w:rsid w:val="560E52F8"/>
    <w:rsid w:val="563A60ED"/>
    <w:rsid w:val="57DD1426"/>
    <w:rsid w:val="58D27596"/>
    <w:rsid w:val="5AFE1DDF"/>
    <w:rsid w:val="5C1B52CD"/>
    <w:rsid w:val="64DB4988"/>
    <w:rsid w:val="67A87D40"/>
    <w:rsid w:val="693702AC"/>
    <w:rsid w:val="6F994535"/>
    <w:rsid w:val="779212D1"/>
    <w:rsid w:val="793C1D6E"/>
    <w:rsid w:val="79582650"/>
    <w:rsid w:val="7D3354C1"/>
    <w:rsid w:val="7D454E7E"/>
    <w:rsid w:val="7D9604E5"/>
    <w:rsid w:val="7F097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qFormat/>
    <w:uiPriority w:val="0"/>
    <w:rPr>
      <w:rFonts w:asciiTheme="minorHAnsi" w:hAnsiTheme="minorHAnsi" w:eastAsiaTheme="minorEastAsia" w:cstheme="minorBidi"/>
      <w:kern w:val="2"/>
      <w:sz w:val="18"/>
      <w:szCs w:val="18"/>
    </w:rPr>
  </w:style>
  <w:style w:type="paragraph" w:customStyle="1" w:styleId="11">
    <w:name w:val="Revision"/>
    <w:hidden/>
    <w:unhideWhenUsed/>
    <w:qFormat/>
    <w:uiPriority w:val="99"/>
    <w:rPr>
      <w:rFonts w:asciiTheme="minorHAnsi" w:hAnsiTheme="minorHAnsi" w:eastAsiaTheme="minorEastAsia" w:cstheme="minorBidi"/>
      <w:kern w:val="2"/>
      <w:sz w:val="21"/>
      <w:szCs w:val="24"/>
      <w:lang w:val="en-US" w:eastAsia="zh-CN" w:bidi="ar-SA"/>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3265</Words>
  <Characters>3410</Characters>
  <Lines>9</Lines>
  <Paragraphs>2</Paragraphs>
  <TotalTime>72</TotalTime>
  <ScaleCrop>false</ScaleCrop>
  <LinksUpToDate>false</LinksUpToDate>
  <CharactersWithSpaces>3413</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2024-11-24T02:50:00Z</dcterms:created>
  <dc:creator>Administrator</dc:creator>
  <cp:lastModifiedBy>邹娜</cp:lastModifiedBy>
  <cp:lastPrinted>2024-11-28T07:35:00Z</cp:lastPrinted>
  <dcterms:modified xsi:type="dcterms:W3CDTF">2024-11-29T00:38:48Z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197ACE7C9D0C434C95EB140E86D6EC95_12</vt:lpwstr>
  </property>
</Properties>
</file>